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ZA19.036302 vom 23. September 2020</w:t>
      </w:r>
    </w:p>
    <w:p>
      <w:r>
        <w:t>VD Tribunal cantonal, 2020-09-23, FR</w:t>
      </w:r>
    </w:p>
    <w:p>
      <w:r>
        <w:rPr>
          <w:b/>
        </w:rPr>
        <w:t xml:space="preserve">Quelle: </w:t>
      </w:r>
      <w:r>
        <w:t>https://mcp.opencaselaw.ch/entscheid/vd_gerichte_ZA19.036302</w:t>
      </w:r>
    </w:p>
    <w:p>
      <w:r>
        <w:t>FR: VD_GERICHTE ZA19.036302 du 23 septembre 2020</w:t>
      </w:r>
    </w:p>
    <w:p>
      <w:r>
        <w:t>IT: VD_GERICHTE ZA19.036302 del 23 settembre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w:t>
      </w:r>
    </w:p>
    <w:p>
      <w:r>
        <w:t>- 13 -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du recourant à une rente d’invalidité de l’assurance-accidents et à une indemnité pour atteinte à l’intégrité, respectivement les taux à la base de ces prestations. A cet égard, la conclusion prise par le recourant relative au montant des indemnités journalières sort du cadre du présent litige, si bien qu’elle doit être déclarée irrecevable. Au demeurant, comme l’a relevé à juste titre l’intimée, la contestation de l’assuré sur ce point date du 10 avril 2018 alors que celui-ci a été informé du montant de l’indemnité journalière par courrier du 14 juillet 2015, suivi par un décompte adressé à l’employeur le 15 juillet 2015. Cette contestation est ainsi intervenue bien au-delà du délai de trois mois fixé par le Tribunal fédéral en la matière (ATF 134 V 145 consid. 5.3.1 et TF 8C_789/2012 du 16 septembre 2013 consid. 4.1), de sorte qu’elle est de toute façon tardive et que le décompte en question est entré en force.</w:t>
      </w:r>
    </w:p>
    <w:p>
      <w:r>
        <w:rPr>
          <w:b/>
        </w:rPr>
        <w:t>E. 3</w:t>
      </w:r>
    </w:p>
    <w:p>
      <w:r>
        <w:t>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w:t>
      </w:r>
    </w:p>
    <w:p>
      <w:r>
        <w:t>- 14 -</w:t>
      </w:r>
    </w:p>
    <w:p>
      <w:r>
        <w:rPr>
          <w:b/>
        </w:rPr>
        <w:t>E. 4</w:t>
      </w:r>
    </w:p>
    <w:p>
      <w:r>
        <w:t>Dans un premier grief de nature formelle, le recourant fait valoir une violation de son droit d’être entendu.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w:t>
      </w:r>
    </w:p>
    <w:p>
      <w:r>
        <w:t>- 15 - En l’espèce, le recourant reproche à la CNA d’avoir ignoré sa demande, tendant à la production du dossier de contrôle AVS effectué en 2015 et de la détermination du réviseur LAA/LAVS sur la problématique des 175'000 francs. En l’occurrence, on ne voit pas en quoi ces documents auraient pu influer sur la décision querellée. En effet, la CNA a estimé à juste titre que les éléments au dossier étaient suffisants pour lui permettre de trancher la question au stade de la vraisemblance prépondérante. D’ailleurs le recourant ne réitère pas cette réquisition de production au stade du recours, alors qu’il aurait eu tout loisir de le faire. On ne saurait ainsi retenir une violation du droit d’être entendu du recourant par l’autorité administrative.</w:t>
      </w:r>
    </w:p>
    <w:p>
      <w:r>
        <w:rPr>
          <w:b/>
        </w:rPr>
        <w:t>E. 5</w:t>
      </w:r>
    </w:p>
    <w:p>
      <w:r>
        <w:t>Le recourant reproche à la CNA d’avoir considéré que son cas était stabilisé, en se fondant en particulier sur l’avis du Dr M.________, alors que de l’avis du Dr J.________, tel ne serait pas le cas.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Si l’assuré est invalide (art. 8 LPGA) à 10 % au moins par suite d’un accident, il a droit à une rente d’invalidité (art. 18 al. 1 LAA). Le droit à la rente prend naissance dès qu'il n'y a plus à 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cessant dès la naissance du droit à la rente (art. 19 al. 1 LAA). Conformément à l'art. 8 al. 1 LPGA, est réputée invalidité l’incapacité de gain totale ou partielle qui est présumée permanente ou de</w:t>
      </w:r>
    </w:p>
    <w:p>
      <w:r>
        <w:t>- 16 -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c) En l’occurrence, dans son rapport du 6 février 2017, le Dr M.________ a estimé que le cas de l’assuré n’était pas stabilisé sur les plans neurologique, urologique et gastro-intestinal. A la suite du rapport du Dr J.________ du 6 juin 2017 qui concluait à la présence de limitations au niveau de l’estime de soi et du manque de perspectives, mais pas au niveau somatique, le Dr M.________ a retenu que la situation était stabilisée (cf. avis du 17 juillet 2017). Il a en outre indiqué que l’intéressé pouvait effectuer un travail semi-sédentaire en évitant le port de charges de plus de 15 kg et les positions statiques prolongées de la nuque. S’agissant du taux de capacité de travail dans une activité adaptée, le Dr M.________ avait évoqué une fourchette entre 50 et 75% dans son rapport du 6 février 2017 ; interrogé à ce sujet, il a fixé le taux à 75% sur le plan somatique par avis du 29 septembre 2017. L’intimée a considéré, sur la base des rapports précités du DM.________ que l’état de santé du recourant s’était stabilisé, de sorte qu’elle a mis fin à la prise en charge des frais de traitement et au versement de l’indemnité journalière le 4 octobre 2017 avec effet au 30 novembre 2017. Il convient en effet de constater</w:t>
      </w:r>
    </w:p>
    <w:p>
      <w:r>
        <w:t>- 17 - qu’aucune pièce du dossier ne laisse entrevoir une possible amélioration de la capacité de travail du recourant. Au contraire, il ressort des différents rapports médicaux produits que les médecins n’ont pas de nouvelle proposition de traitement à lui administrer (cf. en particulier rapport des 19 janvier 2017 et 5 juillet 2017 du Dr J.________), hormis la poursuite des séances de physiothérapie et un suivi psychologique. C’est ainsi à juste titre que l’intimée a considéré que l’état de santé du recourant était stabilisé au 17 juillet 2017 et qu’elle a cessé le versement des indemnités journalières au 30 novembre 2017.</w:t>
      </w:r>
    </w:p>
    <w:p>
      <w:r>
        <w:rPr>
          <w:b/>
        </w:rPr>
        <w:t>E. 6</w:t>
      </w:r>
    </w:p>
    <w:p>
      <w:r>
        <w:t>Le recourant fait ensuite valoir que l’intimée, de manière arbitraire et contraire à la maxime inquisitoire, s’est fondée sur les conclusions du Dr M.________ au sujet de sa capacité de travail, en écartant l’appréciation divergente des Drs J.________ et X.________, qui retiennent une incapacité de travail totale dans une activité adaptée. 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w:t>
      </w:r>
    </w:p>
    <w:p>
      <w:r>
        <w:t>- 18 - bien son contenu (ATF 134 V 231 consid. 5.1 ; 125 V 351 consid. 3a ; TF 8C_75/2017 du 24 octobre 2017 consid. 3.4). b)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p. 353 et les références citées ; TF 8C _862/2008 du 19 août 2009 consid. 4.2). c) En l’espèce, l’intimée s’est uniquement basée sur les rapports du Dr M.________ pour retenir que l’exercice d’une activité adaptée à 75%, sans baisse de rendement, était exigible. Ce médecin a d’abord indiqué que le recourant pourrait à terme exercer une activité adaptée à un taux compris entre 50 et 75% alors que la situation n’était pas encore stabilisée (cf. rapport du 6 février 2017). Il a ensuite précisé, sur demande de l’intimée, qu’il estimait cette capacité à 75% sans émettre la moindre appréciation. Il convient en l’occurrence de constater que l’avis du Dr M.________ n’est corroboré par aucune pièce du dossier. En effet, la Dre X.________, a attesté une incapacité de travail complète de l’assuré en raison des douleurs. Elle a préconisé une évaluation de la capacité de travail (bilan de physiothérapie et d’ergothérapie en activité) de l’assuré, laquelle n’a jamais eu lieu, ainsi qu’un traitement d’ostéopathie pour soulager les douleurs ostéoarticulaires (cf. rapport du 25 avril 2019). Certes, elle n’a pas précisé pour quels types de tâches il y aurait impossibilité à déployer une activité, ni n’a défini les limitations fonctionnelles du recourant, mais son rapport suffit à jeter le doute sur le bien-fondé de l’avis du Dr M.________ en lien avec la capacité résiduelle du recourant.</w:t>
      </w:r>
    </w:p>
    <w:p>
      <w:r>
        <w:t>- 19 - Quant au Dr J.________, il a mentionné que la situation était stabilisée du point de vue de la lésion médullaire, avec un résultat fonctionnel somatique correct, mais que des douleurs et une kinésiophobie rendaient les activités de la vie quotidienne quasiment impossibles. Il a décrit le quotidien difficile du recourant (fort ralentissement dans l’accomplissement des quelques tâches ménagères qu’il effectue, mobilité réduite, épuisement, péjoration des douleurs lors des activités) et a indiqué être très pessimiste quant à la reprise d’une activité professionnelle quelle qu’elle soit (cf. rapport du 26 novembre 2019). Ainsi, si le Dr J.________ fait état d’une composante psychique dans les difficultés rencontrées par le recourant, il mentionne également les douleurs qui s’aggravent lors des activités. Il a, à cet égard, prescrit la poursuite du traitement de physiothérapie. Compte tenu des avis divergents du Dr M.________, d’une part, et, des Drs X.________ et J.________, d’autre part, l’intimée ne pouvait se contenter de suivre les seules conclusions du Dr M.________ pour déterminer la capacité de travail du recourant dans une activité adaptée. On relèvera encore, contrairement à ce que soutient l’intimée, que le rapport du Dr J.________ du 26 novembre 2019 doit être pris en compte, dès lors qu’il se rapporte à une situation qui existait déjà au moment de la décision litigieuse, et ne contient pas de faits nouveaux (ATF 99 V 98 consid. 4 ; TF 9C_34/2017 du 20 avril 2017 consid. 5.2). d) Considérant ce qui précède, c’est à tort que l’intimée a estimé que le recourant était en mesure d’exercer une activité adaptée à 75 % avec un plein rendement sur la base des seules conclusions du Dr M.________, lesquelles n’emportent pas conviction. Dès lors que l’on ne peut accorder une pleine valeur probante aux rapports du Dr M.________, sous l’angle de l’évaluation de la capacité de travail, il n’est pas possible, en l’état du dossier, de déterminer la capacité de travail du recourant dans une activité adaptée.</w:t>
      </w:r>
    </w:p>
    <w:p>
      <w:r>
        <w:t>- 20 - L’instruction apparaît de ce fait lacunaire et nécessite d’être complétée, le dossier ne permettant pas d’apprécier à satisfaction de droit le caractère invalidant des atteintes liées à l’accident du 21 juin 2015. Il se justifie par conséquent d’ordonner le renvoi de la cause à la CNA – à qui il appartient au premier chef d'instruire, conformément au principe inquisitoire qui régit la procédure dans le domaine des assurances sociales (cf. art. 43 al. 1 LPGA) –, cette solution apparaissant comme la plus opportune. Il incombera dès lors à l'intimée de procéder à un complément d'instruction et de mettre en œuvre une expertise orthopédique afin que l’expert se prononce sur les atteintes que le recourant présente (diagnostic, étiologie, évolution) ainsi que sur sa capacité de travail et ses limitations fonctionnelles. Il appartiendra ensuite à la CNA, sur la base des renseignements recueillis, de procéder à un nouvel examen du taux d’invalidité, et de rendre une nouvelle décision statuant sur les prétentions du recourant. Vu ce qui précède, on ajoutera qu’il n’y a pas lieu de se prononcer sur les griefs du recourant relatifs à l’évaluation de son degré d’invalidité, respectivement à la détermination du revenu sans invalidité. L’instruction du cas étant encore incomplète, il est en effet prématuré de statuer sur ces questions.</w:t>
      </w:r>
    </w:p>
    <w:p>
      <w:r>
        <w:rPr>
          <w:b/>
        </w:rPr>
        <w:t>E. 7</w:t>
      </w:r>
    </w:p>
    <w:p>
      <w:r>
        <w:t>Le recourant reproche enfin à l'intimée une estimation incorrecte de l’indemnité pour atteinte à l’intégrité à laquelle il a droit.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w:t>
      </w:r>
    </w:p>
    <w:p>
      <w:r>
        <w:t>- 21 -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w:t>
      </w:r>
    </w:p>
    <w:p>
      <w:r>
        <w:t>- 22 -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En cas de concours de plusieurs atteintes à l’intégrité dues à un ou plusieurs accidents, l’indemnité est fixée d’après l’ensemble du dommage (art. 36 al. 3, première phrase OLAA)] b) Le Dr M.________ a fixé à 30% le taux de l’atteinte à l’intégrité en relation avec les séquelles somatiques de l’accident. Il s’est basé, pour ce faire, sur la table 7 (« Atteinte à l’intégrité dans les affections de la colonne vertébrale ») qui prévoit une indemnisation de 10 à 20% en cas de douleurs +++ avec une augmentation de 5 à 15% en cas de spondylodèse. Il a pondéré ces taux compte tenu de la tétraplégie incomplète type ASIA D présente chez le recourant. Ce dernier soutient, pour sa part, qu’il y a lieu d’appliquer, compte tenu de la tétraplégie incomplète, un taux de 50%, équivalent à une atteinte très grave et douloureuse au fonctionnement de la colonne vertébrale, selon l’annexe 3 OLAA. En l’espèce, on ne voit pas de motifs de s’écarter de l’évaluation faite par le Dr M.________. En particulier, le recourant n’apporte pas d’éléments médicaux qui justifierait de s’écarter de l’appréciation du médecin précité. L’intimée était ainsi fondée à allouer au recourant une indemnité pour atteinte à l’intégrité de 37'800 fr. fondée sur un taux de 30%. Sur ce point, le recours doit être rejeté.</w:t>
      </w:r>
    </w:p>
    <w:p>
      <w:r>
        <w:rPr>
          <w:b/>
        </w:rPr>
        <w:t>E. 8</w:t>
      </w:r>
    </w:p>
    <w:p>
      <w:r>
        <w:t>a) En définitive, le recours doit être partiellement admis dans la mesure de sa recevabilité et la décision sur opposition attaquée annulée en tant qu’elle concerne le taux d’invalidité du recourant. La cause est renvoyée à la CNA pour qu’elle procède conformément aux considérants. La décision litigieuse est confirmée s’agissant de l’IPAI.</w:t>
      </w:r>
    </w:p>
    <w:p>
      <w:r>
        <w:t>- 23 - b) Il n’y a pas lieu de percevoir de frais judiciaires, la procédure étant gratuite (art. 61 let. a LPGA). c) Le recourant, qui obtient partiellement gain de cause avec l’assistance d’un mandataire qualifié, a droit à des dépens réduits, qu’il convient de fixer à 1’500 fr., débours et TVA compris (art. 61 let. g LPGA, art. 10 et 11 TFJDA [tarif du 28 avril 2015 des frais judiciaires et des dépens en matière administrative ; BLV 173.36.5.1]), et de mettre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