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ZA19.035001 vom 13. Juli 2020</w:t>
      </w:r>
    </w:p>
    <w:p>
      <w:r>
        <w:t>VD Tribunal cantonal, 2020-07-13, FR</w:t>
      </w:r>
    </w:p>
    <w:p>
      <w:r>
        <w:rPr>
          <w:b/>
        </w:rPr>
        <w:t xml:space="preserve">Quelle: </w:t>
      </w:r>
      <w:r>
        <w:t>https://mcp.opencaselaw.ch/entscheid/vd_gerichte_ZA19.035001</w:t>
      </w:r>
    </w:p>
    <w:p>
      <w:r>
        <w:t>FR: VD_GERICHTE ZA19.035001 du 13 juillet 2020</w:t>
      </w:r>
    </w:p>
    <w:p>
      <w:r>
        <w:t>IT: VD_GERICHTE ZA19.035001 del 13 luglio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w:t>
      </w:r>
    </w:p>
    <w:p>
      <w:r>
        <w:rPr>
          <w:b/>
        </w:rPr>
        <w:t>E. 2</w:t>
      </w:r>
    </w:p>
    <w:p>
      <w:r>
        <w:t>a) Le litige porte sur le droit du recourant à une rente d’invalidité de l’assurance-accidents, singulièrement sur la fixation de son taux d’invalidité, respectivement sur le droit à une indemnité pour atteinte à l’intégrité.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rPr>
          <w:b/>
        </w:rPr>
        <w:t>E. 3</w:t>
      </w:r>
    </w:p>
    <w:p>
      <w:r>
        <w:t>Dans un premier moyen, le recourant reproche à l’intimée d’avoir violé le droit fédéral, en tant qu’elle a fixé le taux d’invalidité à 16 %.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w:t>
      </w:r>
    </w:p>
    <w:p>
      <w:r>
        <w:t>- 8 -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En l’espèce, il n'est pas contesté que le recourant dispose, malgré des séquelles définitives au poignet gauche ne lui permettant plus l’exercice de la profession habituelle d’aide ferblantier-couvreur, d’une pleine capacité de travail dans une activité adaptée à ses limitations fonctionnelles (pas de mouvements répétés ou nécessitant de la force du poignet et de la main gauches, pas de position en appui sur la main gauche et pas de port de charges supérieures à dix kilos, ni port de charges supérieures à cinq – dix kilos de manière répétée). Le litige porte, en tant qu’il a trait au droit à la rente, exclusivement sur le calcul du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w:t>
      </w:r>
    </w:p>
    <w:p>
      <w:r>
        <w:t>- 9 - bb) Il ressort en l’occurrence du dossier que l’affection du recourant à son poignet gauche consécutive à l’accident s’est progressivement améliorée jusqu’à sa stabilisation. Sur la base des limitations fonctionnelles définitives retenues au terme du séjour à la CRR, de l’appréciation finale faite par le médecin d’arrondissement de l’intimée, non contredite par les rapports établis par la Dre M.________, ainsi que de l’absence de mesures de réadaptation allouées par l’assurance-invalidité, il y a lieu d’admettre que la situation était stabilisée au plus tard le 1er décembre 2018. Aussi, il convient de retenir comme année de référence pour procéder à la comparaison de revenus l'année 2018. c)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En l’occurrence, l’intimée s’est fondée pour fixer le revenu sans invalidité sur un salaire horaire de 33 fr., tel que communiqué par l’ancien employeur du recourant pour l’année 2018. Elle a ensuite multiplié le salaire horaire par le nombre d’heures annuel admis par la convention collective de travail romande du second œuvre, soit 2’132 heures, et a ajouté le 13ème salaire (8,33 %) pour aboutir à un montant de 76'216 fr. 65. Contrairement à ce que soutient le recourant, il n’y a pas lieu, concernant l’horaire hebdomadaire de travail, de se fonder sur les informations contenues dans la déclaration d’accident du 28 octobre 2015, lesquelles font état d’un horaire de 42,5 heures, ou sur les renseignements transmis par l’employeur le 4 avril 2018, lesquels font état d’un horaire de 45 heures. Si l’on examine les fiches de salaire établies pour la période du 1er octobre 2014 au 30 septembre 2015, il</w:t>
      </w:r>
    </w:p>
    <w:p>
      <w:r>
        <w:t>- 10 - convient de constater que le recourant avait concrètement effectué 1'902 heures pour le compte de son employeur et bénéficié de l’indemnisation de neuf jours fériés, soit 74,25 heures (cf. art. 21 de la Convention collective de travail du second œuvre, dans sa teneur en vigueur en 2018), ce qui correspondait à un total de 1976,25 heures annuelles (pour 47 semaines de travail), respectivement à un horaire hebdomadaire de 42 heures. Compte tenu d’un salaire horaire – non contesté par l’intimée – de 33 fr. pour l’année 2018, le salaire annuel de base se serait élevé à 65'216 fr. 25. Conformément à l’art. 20 al. 1 et 2 de la Convention collective de travail du second œuvre romand, le recourant avait droit à 25 jours ouvrables de vacances ; le salaire afférent aux vacances s’élevait à 10,64 % (5/47ème) du salaire de base selon l’horaire moyen conventionnel des heures effectivement travaillées, y compris les heures supplémentaires. Il s’ensuit que le salaire annuel brut du recourant se serait élevé à 72'155 fr. 25. Conformément à l’art. 19 al. 1 de la Convention collective de travail du second œuvre romand, le recourant pouvait également prétendre à un 13ème salaire correspondant à une somme égale à 8,33 % de son salaire annuel brut, de sorte qu’il convient au final de fixer le revenu sans invalidité à la somme de 78'165 fr. 80. Pour finir, il n’y a pas lieu de tenir compte au titre de revenu sans invalidité des indemnités pour repas versées par l’employeur, dans la mesure où ces indemnités ont été allouées en sus du salaire mensuel brut et que, partant, elles n’ont pas été soumises à cotisations sociales (TF 8C_964/2012 du 16 septembre 2013 consid. 4.3.2). d)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w:t>
      </w:r>
    </w:p>
    <w:p>
      <w:r>
        <w:t>- 11 -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w:t>
      </w:r>
    </w:p>
    <w:p>
      <w:r>
        <w:t>- 12 -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2016 (ESS), éditée par l’Office fédéral de la statistique (OFS), soit un montant mensuel de 5'340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2016, soit 41,7 heures. Après adaptation à l’évolution des salaires selon l’indice des salaires nominaux pour les hommes de l’année 2017 (+ 0,4 %) et 2018 (+ 0,5 %), le revenu annuel brut s’élève à 67'406 francs. En ce qui concerne la question de l’abattement sur le salaire statistique, il n’y a pas lieu de s’écarter du taux de 5 % retenu par l’intimée. Celui-ci tient compte de manière appropriée des effets que l’atteinte à la santé peut jouer concrètement sur ses perspectives salariales dans le cadre de l'exercice d'une activité simple, légère et ne nécessitant pas de formation particulière. Il n’y a pas lieu de tenir compte d’autres facteurs en l’espèce qui pourraient lui porter préjudice sur le plan salarial. Le recourant, âgé de 33 ans, est au bénéfice d’une autorisation d’établissement (permis C) et ses origines ne l’ont pas empêché de trouver plusieurs emplois depuis son arrivée en Suisse en [...]. Il s’ensuit que le montant du revenu d’invalide doit être fixé à 64'036 francs.</w:t>
      </w:r>
    </w:p>
    <w:p>
      <w:r>
        <w:t>- 13 - e) La comparaison d'un revenu sans invalidité de 78'165 fr. 80 avec un revenu d'invalide de 64'036 fr. aboutit à un degré d'invalidité de 18 %, taux supérieur à celui reconnu par l’intimée. Il s’ensuit que la décision attaquée doit être réformée, en ce sens que le recourant a droit à une rente d’invalidité de 18 % à compter du 1er décembre 2018.</w:t>
      </w:r>
    </w:p>
    <w:p>
      <w:r>
        <w:rPr>
          <w:b/>
        </w:rPr>
        <w:t>E. 4</w:t>
      </w:r>
    </w:p>
    <w:p>
      <w:r>
        <w:t>Le recourant reproche également à l'intimée une estimation incorrecte de l’indemnité pour atteinte à l’intégrité à laquelle il aurait droit. En application de la Table 1 (atteinte à l’intégrité résultant de troubles fonctionnels des membres supérieurs) ou de la Table 5 (atteinte à l’intégrité résultant d’arthroses) d’indemnisation de la Division médicale de la CNA, il prétend à une indemnité pour atteinte à l'intégrité d’au moins 30 %. a) Aux termes de l’art. 24 al. 1 LAA, l’assuré qui, par suite de l’accident, souffre d’une atteinte importante et durable à son intégrité physique, mentale ou psychique,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w:t>
      </w:r>
    </w:p>
    <w:p>
      <w:r>
        <w:t>- 14 -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En vue d'une évaluation encore plus affinée de certaines atteintes, la Division médicale de la CNA a établi plusieurs tables d’indemnisation. Sans lier le juge, ces tables sont néanmoins compatibles avec l’annexe 3 OLAA (ATF 124 V 209 consid. 4a/cc ; TF 8C_566/2017 du 8 mars 2018 consid. 5.1) et permettent de procéder à une appréciation plus nuancée, lorsque l’atteinte d’un organe n’est que partielle. b) Il y a lieu de constater que l’intimée, en n’allouant pas d’indemnité pour atteinte à l’intégrité, n’a pas violé le droit fédéral. L'indemnité de 30 % résultant de la Table 1 d’indemnisation des atteintes à l’intégrité selon la LAA (atteinte à l’intégrité résultant de troubles fonctionnels des membres supérieurs) que le recourant voudrait se voir allouer correspond à un poignet totalement bloqué ou ayant subi une arthrodèse (blocage définitif de l'articulation). En l'espèce, il ressort cependant des constatations médicales que le poignet de celui-ci n'est nullement bloqué mais que sa mobilité est restreinte en flexion/extension (cf. TF 8C_687/2011 du 28 juin 2012 consid. 3.4). Par ailleurs, rien ne permet de penser qu’il conviendrait d’assimiler l’atteinte du recourant à une arthrose radiocarpienne pouvant justifier l’application de la Table 5 d’indemnisation des atteintes à l’intégrité selon la LAA (atteinte à l’intégrité résultant d’arthroses). Cela étant, il n’est pas exclu que l’apparition de troubles dégénératifs puisse justifier dans le futur une réévaluation de la situation (cf. art. 36 al. 4 in fine OLAA).</w:t>
      </w:r>
    </w:p>
    <w:p>
      <w:r>
        <w:t>- 15 - c) Aussi, la CNA n'a nullement abusé de son pouvoir d'appréciation en retenant que le recourant ne pouvait prétendre à une indemnité pour atteinte à l'intégrité pour les séquelles de l’accident. La décision de l’intimée doit par conséquent être confirmée en tant qu’elle concerne le droit à une indemnité pour atteinte à l’intégrité.</w:t>
      </w:r>
    </w:p>
    <w:p>
      <w:r>
        <w:rPr>
          <w:b/>
        </w:rPr>
        <w:t>E. 5</w:t>
      </w:r>
    </w:p>
    <w:p>
      <w:r>
        <w:t>Le dossier contenant suffisamment d’éléments pour permettre à la Cour de céans de statuer en pleine connaissance de cause, la mise en œuvre d’un complément d’instruction sous la forme d’une expertise médicale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 3.3 ; TF 8C_731/2018 du 15 mars 2019 consid. 6.2).</w:t>
      </w:r>
    </w:p>
    <w:p>
      <w:r>
        <w:rPr>
          <w:b/>
        </w:rPr>
        <w:t>E. 6</w:t>
      </w:r>
    </w:p>
    <w:p>
      <w:r>
        <w:t>a) En définitive, le recours doit être partiellement admis et la décision attaquée réformée en ce sens que le recourant a droit à une rente d’invalidité fondée sur un degré d’invalidité de 18 % à compter du 1er décembre 2018. Le recours doit être rejeté pour le surplus. b) Il n’y a pas lieu de percevoir de frais judiciaires, la procédure étant gratuite (art. 61 let. a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w:t>
      </w:r>
    </w:p>
    <w:p>
      <w:r>
        <w:t>- 16 - la Cour des assurances sociales p r o n o n c e : I. Le recours est partiellement admis. II. La décision sur opposition rendue le 23 juillet 2019 par la Caisse nationale suisse d’assurance en cas d’accidents est réformée, en ce sens que P.________ a droit à une rente d’invalidité fondée sur un degré d’invalidité de 18 % à compter du 1er décembre 2018. III. Le recours est rejeté pour le surplus. IV. Il n’est pas perçu de frais judiciaires. V. La Caisse nationale suisse d'assurance en cas d'accidents versera à P.________ une indemnité de dépens fixée à 1'000 fr. (mille francs). Le président : Le greffier : Du L'arrêt qui précède, dont la rédaction a été approuvée à huis clos, est notifié à : - Me Samuel Thétaz (pour P.________), - Me Jeanne-Marie Monney (pour la Caisse nationale suisse d'assurance en cas d'accidents), - Office Fédéral de la Santé Publique (OFSP),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