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ZA19.031405 vom 20. August 2020</w:t>
      </w:r>
    </w:p>
    <w:p>
      <w:r>
        <w:t>VD Tribunal cantonal, 2020-08-20, FR</w:t>
      </w:r>
    </w:p>
    <w:p>
      <w:r>
        <w:rPr>
          <w:b/>
        </w:rPr>
        <w:t xml:space="preserve">Quelle: </w:t>
      </w:r>
      <w:r>
        <w:t>https://mcp.opencaselaw.ch/entscheid/vd_gerichte_ZA19.031405</w:t>
      </w:r>
    </w:p>
    <w:p>
      <w:r>
        <w:t>FR: VD_GERICHTE ZA19.031405 du 20 août 2020</w:t>
      </w:r>
    </w:p>
    <w:p>
      <w:r>
        <w:t>IT: VD_GERICHTE ZA19.031405 del 20 agosto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- 12 -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aux prestations de l’assurance-accidents, spécialement une rente d’invalidité ainsi qu’une indemnité pour atteinte à l’intégrité.</w:t>
      </w:r>
    </w:p>
    <w:p>
      <w:r>
        <w:rPr>
          <w:b/>
        </w:rPr>
        <w:t>E. 3</w:t>
      </w:r>
    </w:p>
    <w:p>
      <w:r>
        <w:t>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w:t>
      </w:r>
    </w:p>
    <w:p>
      <w:r>
        <w:t>- 13 - ces prestations cesse et le droit à la rente commence (TF 8C_403/2011 du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- 14 -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a) Dans le cas d’espèce, le recourant nie bénéficier d’une capacité de travail entière dans une activité adaptée. b) En l’espèce, la capacité de travail dans une activité adaptée a été fixée une première fois après un séjour à la Clinique romande de réadaptation, à l’occasion d’un rapport médical du 20 mai 2015 établi par les Drs N.________ et G.________. Ces médecins ont retenu des thérapies physiques et fonctionnelles pour douleurs et limitations fonctionnelles de l’épaule gauche ainsi qu’une rupture itérative du sous-scapulaire gauche à la jonction myo-tendineuse (arthro-CT scan du 09.02.2015), une arthroscopie de l'épaule gauche le 20 janvier 2014 avec suture du tendon sous-scapulaire, ténodèse du long chef du biceps et mobilisation sous anesthésie pour une capsulite rétractile, une chute sur l'épaule gauche le 31 octobre 2013 avec rupture complète transfixiante du tendon sous- scapulaire avec subluxation antérieure du long chef du biceps, lésion fissuraire entre les sus- et sous-épineux, lésion partielle du pilier antérieur du sus-épineux (arthro-IRM du 20.11.2013), une arthrodèse de l’IPP du pouce droit en 2004, des troubles cognitifs légers de type MCI multi- domaine non-évolutifs et des lombalgies récurrentes. Ses limitations fonctionnelles consistaient en l’impossibilité d’exercer des activités nécessitant le maintien des membres supérieurs au-delà du plan des épaules ainsi que le port répété de charges supérieures à 10-15 kilos. Les Drs N.________ et G.________ ont estimé que l’assuré était totalement incapable de travailler dans une activité de maçon, l’intéressé conservant une pleine capacité de travail dans une activité adaptée dès le 6 mai 2015. Cette position a été confirmée respectivement par le Dr T.________ à l’occasion de l’examen final réalisé le 18 août 2016, par la Dre R.________ le 5 juillet 2018 et finalement par la Dre J.________, dans son appréciation du 22 janvier 2020.</w:t>
      </w:r>
    </w:p>
    <w:p>
      <w:r>
        <w:t>- 15 - c) En l’occurrence, les conclusions du rapport d’évaluation réalisé par les médecins de la CRR peuvent être suivies. En effet, il aborde de manière circonstanciée les différents points litigieux du cas d’espèce et se fonde sur un examen complet de la situation médicale du recourant, prenant notamment en compte les plaintes de l’intéressé concernant les douleurs ressenties au niveau du membre supérieur gauche. Le recourant s’est soumis à une évaluation de ses capacités fonctionnelles. Le score réalisé, soit de 100 points, traduit l’appréciation de l’intéressé de pouvoir réaliser des activités un niveau d’effort sédentaire ou essentiellement assis. Des tests de charges ont également été effectués afin de déterminer avec précision l’étendue des limitations fonctionnelles du recourant. Les conclusions qui en résultent sont claires, détaillées et emportent conviction. Ainsi, et dans la mesure où l’atteinte à l’épaule gauche de l’assuré n’est pas son épaule dominante, une capacité de travail entière dans une activité adaptée apparaît pleinement envisageable. Par ailleurs, l’examen final réalisé par le Dr T.________ apparaît également convaincant, dans la mesure où il se fonde sur l’entier du dossier, prend en compte les plaintes de l’assuré et protocole de manière chiffrée les capacités résiduelles de l’épaule gauche du recourant. d) Contrairement à ce que soutient le recourant et quand bien même le rapport des médecins de la CRR date effectivement de 2015, les éléments développés par les Drs L.________, V.________ et B.________ ne sauraient remettre en doute les conclusions des médecins de la CRR, respectivement laissant entrevoir une évolution significative de l’état de santé de l’assuré. aa) Le Dr L.________, dans son rapport du 3 juillet 2018, admet un arrêt de travail de 50% sur 100% sur la base des plaintes du recourant. On ne distingue cependant pas les implications concrètes de la symptomatologie douloureuse sur la capacité de travail de l’intéressé, le Dr L.________ n’indiquant pas de nouvelles limitations fonctionnelles. Ce rapport est également valablement remis en cause par la Dre R.________ (rapport du 5 juillet 2018), cette dernière remarquant à juste titre que les amplitudes articulaires en flexion et abduction étaient meilleures que lors</w:t>
      </w:r>
    </w:p>
    <w:p>
      <w:r>
        <w:t>- 16 - de l’examen final réalisé par le Dr T.________, laissant ainsi entrevoir une aggravation uniquement subjective et non objective de la situation médicale. bb) Le rapport du 4 février 2019 établi par les Drs V.________ et F.________, rédigé succinctement, ne saurait suffire afin de retenir un changement substantiel de la situation de l’assuré, se contentant de relater la persistance de la symptomatologie douloureuse à l’épaule gauche, problématique préalablement maintes fois documentée. On remarque également que ces médecins s’abstiennent de se prononcer sur la capacité de travail du recourant et confirment au surplus les limitations fonctionnelles à l’épaule gauche. cc) Quant au rapport établi par le Dr B.________, dans la mesure où ce dernier atteste d’une incapacité de travail postérieure à la décision litigieuse et ne précise pas quelles seraient les limitations qui auraient empêché le recourant de travailler à plus de 50%, il ne saurait se voir accorder une quelconque valeur probante. dd) Les positions des Drs V.________, F.________ et B.________ sont en outre valablement mises en cause par les constatations de la Dre J.________, dans son appréciation du 22 janvier 2020. En effet, elle procède à la comparaison des constatations cliniques effectuées par les médecins du [...] pour conclure en l’absence d’aggravation objective, relevant pertinemment la difficulté de conclure à une telle aggravation dans le cadre de modifications légères des constatations cliniques. Après un examen circonstancié, la Dre J.________ expose avec soin les raisons pour lesquelles elle s’écarte des conclusions du Dr B.________, notamment sur le plan diagnostique. ee) Au surplus, on constate que les conclusions des Drs N.________ et G.________ s’inscrivent dans la continuité des constatations du Dr K.________. Ainsi, la situation médicale apparaît comme claire depuis le début de l’instruction, aucun élément ne laissant présumer une</w:t>
      </w:r>
    </w:p>
    <w:p>
      <w:r>
        <w:t>- 17 - péjoration significative de l’état de santé de l’assuré. Les conclusions des médecins de la CRR conservent ainsi toute leur pertinence. e) Le recourant soutient ensuite que la résiliation de son contrat de travail auprès de [...] Sàrl était motivé par les limitations fonctionnelles présentées à l’épaule gauche. En l’espèce, l’employeur a indiqué le motif de la résiliation, soit des raisons économiques liées à la perte d’une tournée journalière et, contrairement à ce que soutient le recourant, il n’y a aucune raison d’en douter. Concernant le taux d’activité, le recourant a été engagé à 50%, non pas en raison d’une capacité de travail limitée, mais bel et bien parce que le poste en question était proposé à taux partiel. Concernant l’incapacité de travail de 50% intervenue pendant les derniers mois de son engagement, l’intimée relève à juste titre que l’activité de chauffeur- livreur n’était pas parfaitement adaptée aux limitations fonctionnelles du recourant, dans la mesure où cette activité comprend le port de charge relativement important, comme le relève les Dres R.________ (appréciation du 5 juillet 2018) et J.________ (appréciation chirurgicale du 22 janvier 2020). Ainsi, les arguments du recourant ayant trait à son licenciement, respectivement à son engagement à 50% chez [...] Sàrl, peuvent raisonnablement être écartés. f) Sur le vu de ce qui précède, l’intimée était fondée à retenir, sur la base des constatations des médecins de la CRR et de ses médecins d’arrondissement, une incapacité de travail totale du recourant dans son activité habituelle, ce dernier continuant à disposer d’une capacité de travail entière dans une activité adaptée.</w:t>
      </w:r>
    </w:p>
    <w:p>
      <w:r>
        <w:rPr>
          <w:b/>
        </w:rPr>
        <w:t>E. 6</w:t>
      </w:r>
    </w:p>
    <w:p>
      <w:r>
        <w:t>Le recourant conteste le degré d’invalidité retenu par l’intimée. a) Afin d’évaluer le taux d’invalidité au sens de l’art. 18 LAA, et ainsi le montant de la rente, le revenu que l’assuré aurait pu obtenir s’il</w:t>
      </w:r>
    </w:p>
    <w:p>
      <w:r>
        <w:t>- 18 -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l’occurrence, le revenu sans invalidité a été fixé par l’intimée à 73’443 fr., évalué à partir des données fournies par l’employeur (cf. document 191 au dossier). Dans la mesure où il n’y a aucune raison de douter des informations transmises par l’ancien employeur du recourant, ce montant peut être confirmé. d) En l’absence d’un revenu effectivement réalisé – soit lorsque la personne assurée, après la survenance de l’atteinte à la santé, n’a pas repris d’activité lucrative ou alors aucune activité normalement</w:t>
      </w:r>
    </w:p>
    <w:p>
      <w:r>
        <w:t>- 19 - exigible –, le revenu d’invalide peut être évalué sur la base de salaires fondés sur les données statistiques résultant de l’ESS ou sur les données salariales résultant des descriptions de postes de travail (DPT) établies par la CNA (ATF 139 V 592 consid. 2.3 ; 135 V 297 consid. 5.2 ; TF 9C_140/2017 du 18 août 2017 consid. 5.4.1).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w:t>
      </w:r>
    </w:p>
    <w:p>
      <w:r>
        <w:t>- 20 -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En l’espèce, l’intimée a ainsi isolé cinq DPT, soit des postes d’ouvrier en horlogerie, de rectifieur, d’ouvrier en scierie, de fabricant d’instrument sur mesure et de collaborateur de précision. Les postes retenus apparaissent comme adaptés aux limitations fonctionnelles du recourant, dans la mesure où ils n’impliquent aucun port de charge supérieur à cinq kilos, ni le travail en dessus des épaules. En effet, la description précise des postes retenus indique uniquement le port de charge très légère (jusqu’à 5 kilos), effectivement bien inférieure à la limite de poids de 15 kilos fixée par le Dr T.________, avant lui par les Drs N.________ et G.________. Elle indique également que les positions de travail peuvent se faire en rotation, en position assise et penchée ainsi qu’en position debout et penchée mais aucunement en position au-dessus des épaules, dans la mesure où les postes décrits n’impliquent pas de travail au-dessus de la tête. Les postes retenus respectent ainsi les limitations fonctionnelles du recourant. La moyenne des salaires minimaux et maximaux de chaque groupe de référence a par ailleurs été correctement effectuée, mettant en évidence un salaire moyen de 62'310 fr. Concernant le grief formulé par le recourant ayant trait à l’absence d’abattement supplémentaire au vu de ses circonstances personnelles, de ses limitations fonctionnelles et de son changement d’activité, il ne saurait être suivi. En effet, conformément à la jurisprudence constante, aucun abattement supplémentaire ne saurait être retenu dans le cadre du recours aux DPT afin de définir le salaire d’invalide, ces éléments devant être pris en compte dans le cadre du choix du salaire de référence (ATF 139 V 592 consid. 7.3 ; ATF 129 V 472 consid. 4.2.3).</w:t>
      </w:r>
    </w:p>
    <w:p>
      <w:r>
        <w:t>- 21 - e) La comparaison entre le revenu sans invalidité de 73'443 fr. et le revenu d'invalide de 62'310 fr. laisse apparaître un préjudice économique de 11'133 fr., et met effectivement en lumière un degré d’invalidité de 15,16%. C’est ainsi à juste titre que l’intimée a octroyé au recourant une rente d’invalidité conforme à ce taux.</w:t>
      </w:r>
    </w:p>
    <w:p>
      <w:r>
        <w:rPr>
          <w:b/>
        </w:rPr>
        <w:t>E. 7</w:t>
      </w:r>
    </w:p>
    <w:p>
      <w:r>
        <w:t>a) Selon l’art. 24 al. 1 LAA, l’assuré qui, par suite de l’accident, souffre d’une atteinte importante et durable à son intégrité physique, mentale ou psychique, a droit à une indemnité équitable pour atteinte à l’intégrité. b)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c) En l’espèce, le Dr T.________ a considéré que l’évolution de l’état de l’épaule gauche du recourant était dans l’ensemble favorable avec la persistance d’une limitation séquellaire de la fonction utile de l’épaule gauche au-delà de 120° de l’horizontale. Afin de définir le taux de l’atteinte à l’intégrité, ce médecin s’est correctement référé à la table 1 des barèmes d’indemnisation des atteintes à l’intégrité selon l’assurance- accident. Contrairement à la position du recourant, l’évaluation du Dr T.________ apparaît comme convaincante et repose sur un avis médical</w:t>
      </w:r>
    </w:p>
    <w:p>
      <w:r>
        <w:t>- 22 - succinct certes, mais motivé à satisfaction. Elle peut ainsi être suivie. L’application par analogie au taux attribué à une périarthrite scapulo- humérale de gravité moyenne apparaît également appropriée. On rappellera en outre, à l’instar de l’intimée, que le recourant demeure capable de mouvoir son épaule bien au-delà de l’horizontale, comme constaté par le médecin précité. Ainsi, une indemnité pour atteinte à l’intégrité supérieure à 10% n’est pas justifiée.</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le dossier est complet et permet à la Cour de céans de statuer, de sorte qu’il n’y a pas lieu de donner suite aux réquisitions du recourant tendant à la mise en œuvre d’une nouvelle expertise médicale.</w:t>
      </w:r>
    </w:p>
    <w:p>
      <w:r>
        <w:rPr>
          <w:b/>
        </w:rPr>
        <w:t>E. 9</w:t>
      </w:r>
    </w:p>
    <w:p>
      <w:r>
        <w:t>a) Compte tenu des considérations qui précèdent, le recours doit être rejeté et la décision attaquée confirmée. b) Il n’y a pas lieu de percevoir de frais judiciaires, la procédure étant gratuite (art. 61 let. a LPGA), ni d’allouer de dépens, dès lors que le recourant n’obtient pas gain de cause (art. 61 let. g LPGA).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