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ZA19.030758 vom 10. Februar 2020</w:t>
      </w:r>
    </w:p>
    <w:p>
      <w:r>
        <w:t>VD Tribunal cantonal, 2020-02-10, FR</w:t>
      </w:r>
    </w:p>
    <w:p>
      <w:r>
        <w:rPr>
          <w:b/>
        </w:rPr>
        <w:t xml:space="preserve">Quelle: </w:t>
      </w:r>
      <w:r>
        <w:t>https://mcp.opencaselaw.ch/entscheid/vd_gerichte_ZA19.030758</w:t>
      </w:r>
    </w:p>
    <w:p>
      <w:r>
        <w:t>FR: VD_GERICHTE ZA19.030758 du 10 février 2020</w:t>
      </w:r>
    </w:p>
    <w:p>
      <w:r>
        <w:t>IT: VD_GERICHTE ZA19.030758 del 10 febbraio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l’assurance-accidents en raison de l’événement du 7 mars 2019.</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 b) Par facteur extérieur, il faut comprendre une cause externe et non interne au corps humain (ATF 139 V 327 consid. 3.3.1 ; 134 V 72 consid. 4.1.1). Dans la plupart des situations, le facteur extérieur est clairement reconnaissable (chute, coup, etc.). Par contre, la jurisprudence ne tient pas pour remplie l’exigence d’un facteur extérieur dommageable lorsque l’assuré constate des douleurs, pour la première fois, en accomplissant un geste de la vie courante (par exemple en se levant, en s’asseyant ou en se couchant). La notion de cause extérieure suppose en effet qu’un événement générant un risque de lésion accru survienne. L’existence d’un facteur extérieur générant un risque de lésion accru doit</w:t>
      </w:r>
    </w:p>
    <w:p>
      <w:r>
        <w:t>- 8 - être admise lorsqu’un geste quotidien représente une sollicitation du corps plus élevée que ce qui est physiologiquement normal ou psychologiquement contrôlé. C’est le cas en particulier lors de la survenance d’une circonstance qui rend incontrôlable un geste de la vie courante, comme un accès de colère au cours duquel une personne effectue un mouvement violent non maîtrisé. Constitue ainsi un facteur extérieur le coup porté contre le sol par une personne qui frappe son pied par terre sous l’influence de la colère (ATF 139 V 327 consid. 3 ; Jean- Maurice FRÉSARD/Margit MOSER-SZELESS, L’assurance-accidents obligatoire, in Soziale Sicherheit, Schweizerisches Bundesverwaltungsrecht [SBVR], Vol. XIV, 3e éd., Bâle 2016, n. 88, pp. 921-922).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 ; 129 V 402 consid. 2.1). Ce qui est déterminant, c’est que le facteur extérieur s’écarte de la mesure ordinaire et normale dans laquelle les influences de l’environnement agissent sur le corps humain (ATF 134 V 72 consid. 4.3.1).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extérieur au seul motif que l’individu avait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(FRÉSARD/ MOSER-SZELESS, op. cit., n. 95, p. 923).</w:t>
      </w:r>
    </w:p>
    <w:p>
      <w:r>
        <w:t>- 9 - Dans l’hypothèse d’une lésion consécutive à un effort (déplacement ou soulèvement de charges lourdes, par exemple), le caractère extraordinaire de l’effort (qui constitue le facteur extérieur) doit être apprécié au cas par cas, en tenant compte de la constitution physique et des habitudes, professionnelles ou autres, de la personne concernée (ATF 116 V 139 consid. 3b ; TF 8C_827/2017 du 18 mai 2018 consid. 2.1). L’effort est extraordinaire lorsqu’il est manifestement excessif (ATF 116 V 139 consid. 3b ; TF 8C_403/2010 du 6 décembre 2010).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de 150 kg (TFA U 109/92 du 10 août 1993 [RAMA 1994 n° U 18 p. 37 ss]). En revanche, le simple transfert d’un patient d’une table d’opération à un lit par un aide-infirmier ne représente pas un effort excessif et ne constitue donc pas un facteur extérieur extraordinaire (ATF 116 V 136). La jurisprudence a par exemple nié l’existence d’un facteur extérieur extraordinaire en cas de déplacement de charges pesant entre 60 et 100 kg (arrêt U 100/06 du 30 mai 2006 consid. 4.1 et les références). b) En l’espèce, en décrivant l’événement du 7 mars 2019, le recourant a déclaré que lors de la livraison d’un canapé, quand il avait levé les bras dans l’espace moins large, il avait senti un crac de l’épaule jusqu’à la nuque. Ainsi, aucune notion de chute, de glissade ou de collision ne peut être retenue. Le port d’un canapé, pour une personne adulte normalement constituée et déménageur de profession, au bénéfice de près de trois ans d’expérience dans l’entreprise, ne constitue pas un effort extraordinaire. A cet égard, il sied de mentionner qu’un événement accidentel avait été nié par le Tribunal fédéral pour un ouvrier chargé de transporter avec un collègue de travail une vitre d’un poids d’environ 200kg et qui, lors du transport, avait ressenti une douleur poignante au dos (TFA U 214/95 du 23 décembre 1996), ou encore dans le cas d’un maçon ayant éprouvé des douleurs dorsales lors du déplacement de dalles (TFA U 7/00 du 27 juillet 2001).</w:t>
      </w:r>
    </w:p>
    <w:p>
      <w:r>
        <w:t>- 10 - c) En conséquence, en l’absence de l’un des critères de la notion d’accident (cf. consid. 3a supra), l’événement du 7 mars 2019 ne peut être qualifié d’accident et n’était donc pas de nature à faire naître un droit aux prestations de l’intimée. L’on précisera également, à l’instar de l’intimée, que l’avis divergent de la Dre L.________ sur la qualification de l’événement du 7 mars 2019 n’a pas d’incidence sur l’issue de la procédure dès lors que la notion d’accident est une notion juridique qui ne recouvre pas son acceptation médicale (TF U 282/06 du 4 juin 2007 c. 3.2).</w:t>
      </w:r>
    </w:p>
    <w:p>
      <w:r>
        <w:rPr>
          <w:b/>
        </w:rPr>
        <w:t>E. 4</w:t>
      </w:r>
    </w:p>
    <w:p>
      <w:r>
        <w:t>Le recourant soutient que, à défaut de résulter d’une atteinte accidentelle, il n’est pas exclu que la lésion à l’épaule dont il a souffert à la suite de l’événement du 7 mars 2019 puisse être assimilée à une lésion de ligaments au sens de l’art. 6 al. 2 LAA. a) L’art. 6 al. 2 LAA, dans sa teneur au 1er janvier 2017, prévoit que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Umsetzungs in SZS/RSAS 2017, pp. 26 ss, spéc. p. 33). Pour réfuter cette présomption, l’assureur-accidents doit prouver que l’atteinte à la santé est due de manière prépondérante à l’usure ou à une maladie, soit dans une proportion de plus de 50 % (TF 8C_22/2019 du 24 septembre 2019 consid. 8.2.2.1 et 8.6).</w:t>
      </w:r>
    </w:p>
    <w:p>
      <w:r>
        <w:t>- 11 -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w:t>
      </w:r>
    </w:p>
    <w:p>
      <w:r>
        <w:t>- 12 -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 TF 8C _862/2008 du 19 août 2009 consid. 4.2).</w:t>
      </w:r>
    </w:p>
    <w:p>
      <w:r>
        <w:rPr>
          <w:b/>
        </w:rPr>
        <w:t>E. 5</w:t>
      </w:r>
    </w:p>
    <w:p>
      <w:r>
        <w:t>a) En l’espèce, le recourant soutient que l’IRM du 21 mars 2019 diagnostiquait clairement une déchirure ligamentaire de l’épaule droite, approuvée par la Dre L.________. S’il apparaît en effet que la Dre L.________ a retenu, dans son rapport du 16 avril 2019, rendu après l’IRM pratiquée par le Prof. V.________, une déchirure du ligament gléno-huméroral, cette conclusion doit toutefois être relativisée. En effet, l’IRM du 21 mars 2019 a montré une tendinopathie du tendon du long chef du biceps avec probable lésion de la poulie bicipitale et subluxation antérieure du tendon du long chef du biceps dans la portion supérieure et superficielle du sous-scapulaire ; une bursite sous-acromio-deltoïdienne et un discret signe de synchondrite de l’os acromial étaient également décelés. Dans le cadre de la description, le Prof. V.________, spécialiste en radiologie, a précisé que cela parlait pour une déchirure du ligament gléno-huméral supérieur au niveau de la portion inférieure de la poulie avec une extension et une subluxation intra- tendineuse antérieure et superficielle à la face profonde du sous- scapulaire qui restait intègre. Or la supposition du radiologue n’a pas été confirmée, ni par le Dr N.________ lors de son examen du 8 mai 2019, ni par les résultats de l’artho-IRM commandée par ce praticien et pratiquée le 21 mai 2019. Il résulte même du rapport précité qu’il n’existe plus d’évidence de tendinopathie au niveau de la poulie bicipitale. Ainsi, la prétendue déchirure du tendon alléguée par le recourant n’a été confirmée par aucun des examens médicaux mis en œuvre. Dans ces conditions, il apparaît établi, au degré de la vraisemblance prépondérante requis en matière d’assurances sociales (ATF 135 V 39 consid. 6.1 et les références citées), que l’assuré n’a pas</w:t>
      </w:r>
    </w:p>
    <w:p>
      <w:r>
        <w:t>- 13 - été victime, dans le cadre de son activité professionnelle, d’une déchirure des tendons au sens de l’art. 6 al. 2 let. f LAA. En tout état de cause, la Dre X.________ a relevé, dans son appréciation médicale du 15 mai 2019, que la probable lésion de la poulie bicipitale – laquelle n’a au demeurant pas été confirmée par les examens médicaux subséquents (cf. rapport d’arthro-IRM du 21 mai 2019) – entraînant une subluxation antérieure du tendon du long chef du biceps mise en évidence par l’IRM du 21 mars 2019, avait une origine dégénérative. Parmi les preuves de l’origine dégénérative de l’atteinte, la Dre X.________ a cité le fait que le recourant n’ait pas immédiatement interrompu son activité professionnelle alors qu’il ressentait des douleurs. A cet égard, on relèvera que lors de ses premières déclarations, le recourant a en effet indiqué être retourné travailler le lendemain, avec la prise de médicaments (cf. déclaration de sinistre du 19 mars 2019 et questionnaire renvoyé à la CNA du 22 mars 2019). Ce n’est que dans un second temps que l’intéressé a déclaré avoir été contraint d’abandonner immédiatement toute activité professionnelle en raison de ses douleurs. Il ne ressort pas non plus du dossier d’éléments venant contredire l’appréciation du 15 mai 2019 de la Dre X.________, quant à l’état de santé du recourant immédiatement après l’événement du 7 mars 2019, de sorte qu’elle doit se voir reconnaître une pleine valeur probante. Selon cette praticienne, le recourant accusait une mobilité certes réduite lors de certains mouvements, mais pas une impotence fonctionnelle totale. En outre, l’examen pratiqué par le Dr N.________ le X.________, est non- significatif avec des signes irritatifs tendineux peu spécifiques. Il permet toutefois d’écarter une rupture tendineuse, la mobilité de l’épaule étant quasiment normale, et ne contient pas d’éléments plaidant pour une instabilité. Ces éléments concordent au demeurant avec l’artho-IRM pratiquée le 21 mai 2019, qui confirme une irrégularité du tendon sus- épineux, mais conclut à l’absence de lésion de déchirure visible, et ne confirme pas de luxation du biceps. En outre, la lésion de type SLAP I à SLAP IIA mise en évidence par l’arthro-IRM ne constituait pas une lésion</w:t>
      </w:r>
    </w:p>
    <w:p>
      <w:r>
        <w:t>- 14 - figurant dans la liste de l’art. 6 al. 2 LAA (à cet égard, voir TF 8C_835/2013 du 28 janvier 2014, consid. 4.3 et 8C_1/2015 rendus sous l’ancien art. 9 al. 2 OLAA). d) Au vu de ce qui précède, le recourant ne présente aucune atteinte figurant dans la liste exhaustive de l’art. 6 al. 2 LAA. C’est donc à juste titre que l’intimée a refusé d’allouer des prestations pour les suites de l’événement du 7 mars 2019.</w:t>
      </w:r>
    </w:p>
    <w:p>
      <w:r>
        <w:rPr>
          <w:b/>
        </w:rPr>
        <w:t>E. 6</w:t>
      </w:r>
    </w:p>
    <w:p>
      <w:r>
        <w:t>a) En conclusion, le recours est rejeté et la décision sur opposition rendue le 26 juin 2019 par la CNA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