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ZA19.030522 vom 20. April 2020</w:t>
      </w:r>
    </w:p>
    <w:p>
      <w:r>
        <w:t>VD Tribunal cantonal, 2020-04-20, FR</w:t>
      </w:r>
    </w:p>
    <w:p>
      <w:r>
        <w:rPr>
          <w:b/>
        </w:rPr>
        <w:t xml:space="preserve">Quelle: </w:t>
      </w:r>
      <w:r>
        <w:t>https://mcp.opencaselaw.ch/entscheid/vd_gerichte_ZA19.030522</w:t>
      </w:r>
    </w:p>
    <w:p>
      <w:r>
        <w:t>FR: VD_GERICHTE ZA19.030522 du 20 avril 2020</w:t>
      </w:r>
    </w:p>
    <w:p>
      <w:r>
        <w:t>IT: VD_GERICHTE ZA19.030522 del 20 aprile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l’espèce, sont litigieux la question de la stabilisation de l’état de santé de l’assuré, et par conséquent le droit au versement d’indemnités journalières et la prise en charge de ses frais médicaux au- delà du 30 septembre 2018, ainsi que les degrés d'invalidité et d'atteinte à l’intégrité des suites de l’accident du 2 octobre 2014. b)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w:t>
      </w:r>
    </w:p>
    <w:p>
      <w:r>
        <w:rPr>
          <w:b/>
        </w:rPr>
        <w:t>E. 3</w:t>
      </w:r>
    </w:p>
    <w:p>
      <w:r>
        <w:t>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w:t>
      </w:r>
    </w:p>
    <w:p>
      <w:r>
        <w:t>- 14 - L’assurance-accident ne répond que des atteintes à la santé qui sont en relation de causalité non seulement naturelle mais encore adéquate avec un événement assuré ou une maladie professionnelle (ATF 129 V 177 consid. 3.1 et 3.2)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w:t>
      </w:r>
    </w:p>
    <w:p>
      <w:r>
        <w:t>- 15 -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w:t>
      </w:r>
    </w:p>
    <w:p>
      <w:r>
        <w:rPr>
          <w:b/>
        </w:rPr>
        <w:t>E. 4</w:t>
      </w:r>
    </w:p>
    <w:p>
      <w:r>
        <w:t>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rPr>
          <w:b/>
        </w:rPr>
        <w:t>E. 5</w:t>
      </w:r>
    </w:p>
    <w:p>
      <w:r>
        <w:t>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b) L’indemnité pour atteinte à l’intégrité est calculée selon les directives figurant à l’annexe 3 de l’OLAA (art. 36 al. 2 OLAA). Cette annexe comporte un barème des atteintes à l’intégrité en pour cent du</w:t>
      </w:r>
    </w:p>
    <w:p>
      <w:r>
        <w:t>- 16 -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w:t>
      </w:r>
    </w:p>
    <w:p>
      <w:r>
        <w:t>- 17 -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rPr>
          <w:b/>
        </w:rPr>
        <w:t>E. 7</w:t>
      </w:r>
    </w:p>
    <w:p>
      <w:r>
        <w:t>a) Les avis des parties divergent tout d’abord quant à la question de la stabilisation de l'état de santé de l'assuré. b) L’intimée s’est fondée sur l’appréciation du 3 septembre 2018 de la Dre B.________, dans laquelle elle constate que l’intervention du 25 janvier 2018 n’a permis ni de diminuer ni de faire disparaître les douleurs résiduelles. Durant l’examen final du 30 août 2018, l’assuré a en effet mentionné que les douleurs étaient inchangées depuis l’opération mais qu’elles étaient désormais absentes au repos. S’agissant des médicaments, il ne prenait habituellement que du Dafalgan®. Il avait arrêté la physiothérapie mais effectuait régulièrement des exercices à la maison. La Dre B.________ a encore noté que l’assuré ne ressentait plus d’inconfort lorsqu’il était assis et appuyé contre le dossier d’une chaise. Elle a estimé que la situation était stabilisée sur le plan médical. L’avis de la Dre B.________ est convaincant et a été posé au terme d’une étude circonstanciée, établie en pleine connaissance de l’anamnèse, fondée sur un examen approfondi du dossier médical et un examen clinique et radiologique complet du recourant. L’évaluation de la situation médicale est claire et ses conclusions sont motivées.</w:t>
      </w:r>
    </w:p>
    <w:p>
      <w:r>
        <w:t>- 18 - L’appréciation du 3 septembre 2018 satisfait ainsi aux réquisits jurisprudentiels permettant de lui reconnaître pleine valeur probante. Cette appréciation est du reste corroborée par diverses pièces au dossier. Le Dr Z.________ a en effet indiqué, dans la lettre de sortie de la Clinique M.________ du 20 juillet 2015, qu’une stabilisation médicale était attendue d’ici à la fin de l’année. Le Dr F.________ était également d'avis, dans son rapport du 15 mars 2016, que la situation est stabilisée. Il a relevé qu’il n’y avait plus d’évolution sur le plan somatique et précisé qu’il ne voyait plus d’utilité à ce que le traitement soit poursuivi. La situation était dès lors déjà considérée comme stabilisée depuis à tout le moins mars 2016 par les médecins de l'assuré, lorsqu'il a subi son opération d’ablation des vis d’ostéosynthèse post spondylodèse, le 25 janvier 2018. Avant cela, le recourant s’est vu expliquer que le bénéfice de cette intervention ne pouvait être prédit et que le risque était important qu’elle n’ait aucun effet sur la douleur. Si l’intervention s’est déroulée sans complication (cf. lettre de sortie du 14 février 2018), elle n’a toutefois pas apporté de bénéfice au niveau de la douleur. Le Dr D.________ l’a constaté lors de la consultation du 4 avril 2018. Bien que l’examen neurologique réalisé à cette occasion était bon et que les contrôles radiologique et clinique étaient rassurants, le Dr D.________ a précisé ne pas avoir de solution supplémentaire pour soulager les symptômes douloureux et ne pas prévoir d'autres consultations. L'état de santé de l'assuré avant et après l'opération était par conséquent inchangé. Tous ces éléments tendent à confirmer l’appréciation de la Dre B.________. c) Le recourant oppose toutefois aux constatations de la Dre B.________ celles des Drs D.________ et X.________, plus particulièrement leur rapport respectif des 18 mai 2018 et 24 février 2019.</w:t>
      </w:r>
    </w:p>
    <w:p>
      <w:r>
        <w:t>- 19 - En ce qui concerne le rapport du 18 mai 2018 du Dr D.________, et plus particulièrement la prescription de séances de physiothérapie pour une rééducation proprioceptive, on relèvera qu’il s’agit d’une ordonnance unique dont on ne trouve aucun renouvellement au dossier. Le recourant a par ailleurs déclaré à la Dre B.________, lors du bilan final du 30 août 2018, qu’il avait cessé les séances de physiothérapie et réalisait désormais des exercices à domicile. Il avait en outre précédemment expliqué au Dr J.________ que la physiothérapie n’avait pas permis de soulager ses symptômes (cf. examen du 24 mai 2016). Il apparaît dès lors qu'un traitement de physiothérapie ne permet pas d’améliorer sensiblement la situation. Tout au plus peut-il être admis qu’il tend à la préservation de l’état de santé de son bénéficiaire. Le recourant se prévaut encore du rapport du Dr X.________ du 24 février 2019, dans lequel celui-ci indique que des éventuelles pistes thérapeutiques existent et qu’une prise en charge dans un centre d’antalgie est possible. Cette considération est toutefois de l’ordre de l’hypothèse, laquelle ne permet pas de retenir, même au stade de la vraisemblance prépondérante, qu’un tel traitement améliorerait sensiblement l’état de santé de l’assuré. Cette appréciation n’est en outre pas partagée par les médecins qui ont suivi le recourant depuis son accident, aucun d'eux n’ayant jamais évoqué une prise en charge dans un centre d’antalgie. Elle est également contraire aux constatations du Dr D.________ qui indique ne plus avoir de solution pour soulager les douleurs de l’assuré (cf. rapport du 18 mai 2018). d) Les griefs formulés par le recourant sont infondés et doivent être rejetés. Dans ces circonstances, l’intimée était fondée à considérer que l’état de santé de l'assuré était stabilisé au 30 septembre 2018, en mettant de ce fait fin au versement des indemnités journalières et à la prise en charge du traitement médical.</w:t>
      </w:r>
    </w:p>
    <w:p>
      <w:r>
        <w:rPr>
          <w:b/>
        </w:rPr>
        <w:t>E. 8</w:t>
      </w:r>
    </w:p>
    <w:p>
      <w:r>
        <w:t>Le recourant conteste également le taux d’invalidité, arrêté à 15 % dans la décision attaquée.</w:t>
      </w:r>
    </w:p>
    <w:p>
      <w:r>
        <w:t>- 20 - Il estime qu’une évaluation récente et concrète de la capacité résiduelle de travail devrait être réalisée pour démontrer que le degré d’invalidité retenu est trop faible, comme l’affirme le Dr X.________ dans son rapport du 19 avril 2019. Or, une telle évaluation, récente et concrète, figure déjà au dossier ; il s'agit de l’examen médical final du 30 août 2018 réalisé par la Dre B.________. Elle a en effet procédé à un examen clinique et radiologique de l’assuré avant de considérer qu'il était capable de travailler à 100 % dans une activité adaptée à ses limitations fonctionnelles. Il n’existe au dossier aucun rapport médical circonstancié et objectivé, notamment postérieur à ce bilan final, qui contredirait les conclusions de la Dre B.________ quant à la capacité de travail. S'il est exact que, dans son rapport du 19 avril 2019, le Dr X.________ soutient que le degré d’invalidité devrait être supérieur à 15 %, à aucun moment il n’objective son appréciation. Il se contente au contraire d'énoncer son point de vue et de le justifier uniquement au regard de ses connaissances de l’assuré et de son expérience de médecin praticien et de spécialiste en médecine interne. Cela ne saurait suffire, ce d’autant plus qu’il lui aurait incombé de se prononcer sur la capacité de travail de l’assuré, qui relève de l’appréciation médicale et ainsi donc de ses compétences, et non sur le taux d’invalidité qui est une appréciation économique. Ni le rapport du Dr X.________, ni d'ailleurs aucun autre rapport médical, ne remet ainsi en cause l'appréciation de la Dre B.________. Le recourant ne conteste au demeurant pas spécifiquement le calcul effectué par l’intimée. Contrôlé d’office, celui-ci ne prête pas le flanc à la critique et peut être confirmé. Les griefs du recourant doivent par conséquent être rejetés.</w:t>
      </w:r>
    </w:p>
    <w:p>
      <w:r>
        <w:rPr>
          <w:b/>
        </w:rPr>
        <w:t>E. 9</w:t>
      </w:r>
    </w:p>
    <w:p>
      <w:r>
        <w:t>Le recourant reproche encore à l’intimée d’avoir retenu un taux d’indemnité pour atteinte à l’intégrité insuffisant. Il estime que celui- ci devrait s’élever à 20 % sur la base de la table 7.</w:t>
      </w:r>
    </w:p>
    <w:p>
      <w:r>
        <w:t>- 21 - La CNA a fixé l’indemnité pour atteinte à l’intégrité à 10 % sur la base des conclusions de la Dre B.________. Dans son appréciation du 3 septembre 2018, elle s’est référée à la table 7 du barème établi par la CNA relatif aux atteintes à l’intégrité dans les affections de la colonne vertébrale. Pour les fractures dont l’angle est situé entre 10° et 20°, le taux d’atteinte à l’intégrité varie selon les douleurs. Le taux est de 5 à 10 % lorsque les douleurs sont modérées après mobilisation, rares ou nulles au repos, disparaissant complètement et rapidement (1 à 2 jours) et entre</w:t>
      </w:r>
    </w:p>
    <w:p>
      <w:r>
        <w:rPr>
          <w:b/>
        </w:rPr>
        <w:t>E. 10</w:t>
      </w:r>
    </w:p>
    <w:p>
      <w:r>
        <w:t>a) Au vu de ce qui précède, le recours doit être rejeté et la décision sur opposition du 7 juin 2019 confirmée. b) Il n’y a pas lieu de percevoir de frais judiciaires, la procédure étant gratuite (art. 61 let. a LPGA), ni d’allouer de dépens, dès lors que le recourant n’obtient pas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