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ZA19.026503 vom 14. Februar 2020</w:t>
      </w:r>
    </w:p>
    <w:p>
      <w:r>
        <w:t>VD Tribunal cantonal, 2020-02-14, FR</w:t>
      </w:r>
    </w:p>
    <w:p>
      <w:r>
        <w:rPr>
          <w:b/>
        </w:rPr>
        <w:t xml:space="preserve">Quelle: </w:t>
      </w:r>
      <w:r>
        <w:t>https://mcp.opencaselaw.ch/entscheid/vd_gerichte_ZA19.026503</w:t>
      </w:r>
    </w:p>
    <w:p>
      <w:r>
        <w:t>FR: VD_GERICHTE ZA19.026503 du 14 février 2020</w:t>
      </w:r>
    </w:p>
    <w:p>
      <w:r>
        <w:t>IT: VD_GERICHTE ZA19.026503 del 14 febbraio 2020</w:t>
      </w:r>
    </w:p>
    <w:p>
      <w:pPr>
        <w:pStyle w:val="Heading2"/>
      </w:pPr>
      <w:r>
        <w:t>Erwägungen</w:t>
      </w:r>
    </w:p>
    <w:p>
      <w:r>
        <w:rPr>
          <w:b/>
        </w:rPr>
        <w:t>E. 5</w:t>
      </w:r>
    </w:p>
    <w:p>
      <w:r>
        <w:t>Les art. 45 à 47 LAA traitent de la déclaration et de la constatation des circonstances de l’accident (Jean-Maurice Frésard/ Margit Moser-Szeless, l'assurance-accidents obligatoire, in : U. Meyer (édit.), Schweizerisches Bundesverwaltungsrecht, Soziale Sicherheit [SBVR], 3ème éd., Bâle 2016, n° 588, p. 1062). Selon l’art. 46 al. 2 LAA, l’assureur peut réduire de moitié toute prestation si, par suite d’un retard inexcusable dû à l’assuré ou à ses survivants, il n’a pas été avisé dans les trois mois de l’accident ou du décès de l’assuré ; il peut refuser la prestation lorsqu’une fausse déclaration d’accident lui a été remise intentionnellement. Cette disposition vise à réprimer un comportement dolosif tendant à obtenir de l'assurance plus que ce à quoi l'on aurait droit (TF 8C_388/2017 du 6 février 2018 consid. 2 et les références citées). Ainsi, n’importe quelle fausse information contenue dans la déclaration d’accident suffit, dès lors qu’elle conduit à l’octroi de prestations d’assurance plus élevées que celles auxquelles la personne assurée aurait droit conformément à la situation effective. La condition préalable à cette sanction est ainsi que les informations erronées figurant dans la déclaration d’accident aient été faites intentionnellement et que l’intention ait été précisément d’inciter l’assureur-accident à verser des prestations non dues ou trop élevées (TF 8C_68/2017 du 4 septembre 2017 consid. 4.3). Toute fausse déclaration dans la déclaration d’accident est suffisante, à condition qu’elle entraine le versement d’une indemnité plus élevée que celle qui serait due sur la base des circonstances réelles. Cette sanction ne peut être prononcée que si la fausse déclaration a été faite en connaissance de cause et de plein gré (TF 8C_68/2017 précité consid. 4.3). Tombe sous le coup de cette disposition la déclaration intentionnelle d’un salaire trop élevé, lorsque cela conduit au versement de prestations en espèces fixées sur la base d’un gain assuré trop élevé. L'assureur doit examiner une telle éventualité pour chaque prestation en particulier en respectant l'interdiction de l'arbitraire,</w:t>
      </w:r>
    </w:p>
    <w:p>
      <w:r>
        <w:t>- 9 - ainsi que les principes de l'égalité de traitement et de la proportionnalité. Une condamnation pénale, en particulier pour escroquerie, n'est pas une condition nécessaire pour faire usage de l'art. 46 al. 2 LAA (ATF 143 V 393 consid. 6.2 et 7.3 ; TF 8C_68/2017 du 4 septembre 2017 consid. 4.3).</w:t>
      </w:r>
    </w:p>
    <w:p>
      <w:r>
        <w:rPr>
          <w:b/>
        </w:rPr>
        <w:t>E. 6</w:t>
      </w:r>
    </w:p>
    <w:p>
      <w:r>
        <w:t>a) Selon l’art. 25 al. 1 LPGA, les prestations indûment touchées doivent être restituées.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8C_373/2016 du 29 mars 2017 consid. 4). Il y a négligence grave quand un ayant droit ne se conforme pas à ce qui peut raisonnablement être exigé d’une personne capable de discernement dans une situation identique et dans les mêmes circonstances (ATF 110 V 176 consid. 3d ; TF 8C_373/2016 précité consid. 4). La bonne foi doit être niée quand l’enrichi pouvait, au moment du versement, s’attendre à son obligation de restituer, parce qu’il savait ou devait savoir, en faisant preuve de l’attention requise, que la prestation</w:t>
      </w:r>
    </w:p>
    <w:p>
      <w:r>
        <w:t>- 10 - était indue (ATF 130 V 414 consid. 4.3 ; TF 8C_118/2010 du 31 août 2010 consid. 4.1).</w:t>
      </w:r>
    </w:p>
    <w:p>
      <w:r>
        <w:rPr>
          <w:b/>
        </w:rPr>
        <w:t>E. 7</w:t>
      </w:r>
    </w:p>
    <w:p>
      <w:r>
        <w:t>a) En l’espèce, l’intimée soutient que dans la mesure où la demande de restitution des prestations a été prononcée en vertu de l’art. 46 al. 2 LAA – disposition sanctionnant un comportement dolosif – le critère de la bonne foi ne peut pas être réalisé. b) Il est constant que le recourant a été sanctionné par une décision fondée sur l’art. 46 al. 2 LAA, l’intimée ayant considéré qu’il s’était rendu coupable d’une fausse déclaration d’accident. Cette disposition est par ailleurs entrée en force, à défaut d’avoir été contestée en temps utile. Cependant, en application de la maxime inquisitoire consacrée par l’art. 61 let. c et d LPGA qui impose au juge des assurances sociales d’établir les faits d’office, il convient d’examiner la question de la bonne foi du recourant plus avant. c) La déclaration d’accident du 13 novembre 2017 transmise à l’intimée indique sous la rubrique « faits » que le recourant conduisait sa voiture. La route était glissante et deux autres voitures étaient impliquées. Le constat d’accident, enregistré le 5 décembre 2017 au dossier de l’intimée, fait état de la collision de trois véhicules. Le schéma qui y représente l’accident laisse apparaître l’automobile du recourant en troisième position. Ce constat est conforme aux déclarations de l’un des deux autres conducteurs impliqués (notice téléphonique du 2 février 2018). Si les médecins ont mentionné dans leurs rapports que le recourant avait été pris entre deux voitures (rapports du 9 novembre 2017 du Dr B.________, spécialiste en radiologie ; du 9 novembre 2017 des Drs F.________, spécialiste en chirurgie, et L.________) et que le recourant en a fait de même lors de son entretien à domicile du 5 février 2018, il n’en demeure pas moins qu’il n’y a pas de fausse déclaration d’accident au dossier. En effet, l’intimée ne nie pas l’existence de l’accident (décision du</w:t>
      </w:r>
    </w:p>
    <w:p>
      <w:r>
        <w:rPr>
          <w:b/>
        </w:rPr>
        <w:t>E. 9</w:t>
      </w:r>
    </w:p>
    <w:p>
      <w:r>
        <w:t>mai 2018 : « Si un accident de la circulation s’est [bel] et bien produit […] »). On ne voit par ailleurs pas que les dernières déclarations de l’assuré aient été effectuées en vue d’inciter l’assureur-accidents à verser</w:t>
      </w:r>
    </w:p>
    <w:p>
      <w:r>
        <w:t>- 11 - des prestations non dues. Il ressort au contraire des pièces du dossier que l’intéressé a présenté, ensuite de l’accident, une détresse psychologique ainsi que des troubles anxieux et du sommeil (cf. notamment rapport du 21 décembre 2018 du Dr [...], spécialiste en médecine interne générale). Les explications du recourant selon lesquelles il aurait, lors des déclarations litigieuses, été sous l’effet de nombreux médicaments sont en outre corroborées par le rapport du 9 novembre 2017 des Drs F.________ et L.________ attestant de la prescription de Tramadol, Irfen, Tranxilium, Dafalgan, Efexor et Clexan. Force est de constater que ces médicaments peuvent en effet avoir eu des effets sur les capacités cognitives du recourant, singulièrement celle à comprendre les questions qui lui avaient été posées tant par les médecins que par l’interlocuteur de l’assureur- accidents, respectivement à y répondre de manière parfaitement adéquate. Ce qui précède suffit pour retenir qu’en indiquant à certains médecins ou au représentant de l’intimée que l’accident litigieux avait impliqué une quatrième voiture qui aurait embouti son propre véhicule alors que tel n’est pas le cas, le recourant ne s’est rendu coupable d’aucune intention malicieuse ni d’aucune négligence grave. L’acte fautif ne constitue dès lors, a maxima, qu’une violation légère de l’obligation de renseigner. d) Au vu de ce qui précède, le recourant pouvait s’attendre à recevoir de bonne foi des prestations de l’assurance-accidents. Compte tenu de l’issue du litige, la mise en œuvre de l’expertise requise par le recourant n’apparaît pas de nature à apporter un éclairage différent des éléments retenus ci-dessus et peut dès lors être écartée par appréciation anticipée des preuves (ATF 141 I 60 consid. 3.3). e) La question de l’indigence, condition cumulative à l’octroi de la remise, n’a pas été traitée par l’intimée. Dans ces circonstances, il se justifie de lui renvoyer la cause, dès lors qu’il lui appartient au premier chef d’instruire, conformément au principe inquisitoire qui régit la procédure dans le domaine des assurances sociales selon l’art. 43 al. 1</w:t>
      </w:r>
    </w:p>
    <w:p>
      <w:r>
        <w:t>- 12 - LPGA. Elle complètera l’instruction sur ce point et rendra une nouvelle décision. 8. a) D’après l’art. 37 al. 4 LPGA, l’assistance gratuite d’un conseil juridique est accordée au demandeur lorsque les circonstances l’exigent. b)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Il faut mentionner, en plus de la complexité des questions de droit et de l'état de fait, les circonstances qui tiennent à la personne concernée, comme sa capacité à s'orienter dans une procédure (ATF 132 V 200 consid. 4.1 et les références citées ; TF 9C_674/2011 du 3 août 2012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1.3). c) Dans le cas d’espèce, le recourant avance notamment le caractère complexe de son dossier pour justifier la nécessité de se faire assister d’un avocat. Cette argumentation ne convainc toutefois pas. S’agissant d’une demande de remise de l’obligation de restituer, la cause ne revêtait pas un degré particulier de complexité, dès lors qu’il s’agissait uniquement de traiter la question de la bonne foi et de celle de l’indigence. Le recourant ne met par ailleurs pas évidence de circonstances propres à justifier l’assistance que seul un avocat était en mesure d’apporter. On ne saurait par conséquent parler, en l’état de la procédure, d’un état de fait et de questions juridiques complexes auxquels le recourant ne pouvait pas faire face seul ou avec l’aide d’un assistant</w:t>
      </w:r>
    </w:p>
    <w:p>
      <w:r>
        <w:t>- 13 - social ou d’une association chargée de la défense des intérêts des assurés. L’assistance d’un avocat n’étant objectivement pas indiquée au vu des circonstances concrètes du cas d’espèce, il n’y a pas lieu d’examiner si les autres conditions cumulatives mises à l’octroi de l’assistance juridique gratuite sont données. 8. a) En définitive, le recours doit être partiellement admis et la décision attaquée annulée en tant qu’elle porte sur la question de la remise de l’obligation de restituer. La cause est renvoyée à l’intimée pour instruction complémentaire sur le critère de l’indigence, puis nouvelle décision. Le recours est rejeté pour le surplus. b) Il n’y a pas lieu de percevoir de frais judiciaires, la procédure étant gratuite (art. 61 let. a LPGA). c) Le recourant, qui obtient partiellement gain de cause avec l’assistance d’un mandataire qualifié, a droit à des dépens réduits, qu’il convient de fixer à 800 fr., débours et TVA compris (art. 61 let. g LPGA, art. 10 et 11 TFJDA [tarif du 28 avril 2015 des frais judiciaires et des dépens en matière administrative ; BLV 173.36.5.1]). Le montant des dépens arrêté ci-dessus correspond au moins à ce qui aurait été alloué au titre de l’assistance judiciaire. Partant, il n’y a pas lieu, en l’état, de fixer plus précisément l’indemnité d’office du conseil du recourant. Par ces motifs, le juge unique p r o n o n c e : I. Le recours est partiellement admis. II. La décision sur opposition rendue le 17 mai 2019 par la Caisse nationale suisse d’assurance en cas d’accidents est annulée en tant qu’elle porte sur la question de la remise de l’obligation</w:t>
      </w:r>
    </w:p>
    <w:p>
      <w:r>
        <w:t>- 14 - de restituer et la cause est renvoyée à cette assurance pour nouvelle décision au sens des considérants. III. Le recours est rejeté pour le surplus. IV. Il n’est pas perçu de frais judiciaires. V. La Caisse nationale suisse d’assurance en cas d’accidents versera à C.________ une indemnité de dépens fixée à 800 fr. (huit cents francs). Le juge unique : La greffière : Du L'arrêt qui précède est notifié à : - Me Jean-Michel Duc (pour C.________), - Caisse nationale suisse d’assurance en cas d’accidents, - Office fédéral de la santé publique,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