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ZA18.054554 vom 27. August 2020</w:t>
      </w:r>
    </w:p>
    <w:p>
      <w:r>
        <w:t>VD Tribunal cantonal, 2020-08-27, FR</w:t>
      </w:r>
    </w:p>
    <w:p>
      <w:r>
        <w:rPr>
          <w:b/>
        </w:rPr>
        <w:t xml:space="preserve">Quelle: </w:t>
      </w:r>
      <w:r>
        <w:t>https://mcp.opencaselaw.ch/entscheid/vd_gerichte_ZA18.054554</w:t>
      </w:r>
    </w:p>
    <w:p>
      <w:r>
        <w:t>FR: VD_GERICHTE ZA18.054554 du 27 août 2020</w:t>
      </w:r>
    </w:p>
    <w:p>
      <w:r>
        <w:t>IT: VD_GERICHTE ZA18.054554 del 27 agosto 2020</w:t>
      </w:r>
    </w:p>
    <w:p>
      <w:pPr>
        <w:pStyle w:val="Heading2"/>
      </w:pPr>
      <w:r>
        <w:t>Erwägungen</w:t>
      </w:r>
    </w:p>
    <w:p>
      <w:r>
        <w:rPr>
          <w:b/>
        </w:rPr>
        <w:t>E. 16</w:t>
      </w:r>
    </w:p>
    <w:p>
      <w:r>
        <w:t>% au minimum, qu'une rente transitoire lui soit versée du 1er janvier 2018 jusqu'au terme des mesures de réadaptation de l'OAI, le 31 aout 2018, puis qu'une rente d'invalidité lui soit octroyée et qu’un traitement médical approprié soit pris en charge. Plus subsidiairement encore, il a conclu à l'octroi d'une rente à compter du 1er janvier 2018 et à la prise en charge d’un traitement approprié. Il a enfin conclu à l'annulation de la décision entreprise et au renvoi de la cause à l'intimée pour nouvelle décision. L'assuré a requis l'interpellation de D.________ SA au sujet des heures supplémentaires moyennes effectuées ainsi que des Drs V.________ et G.________ s'agissant de la stabilisation de l'état de santé sur le plan neurologique. Il a également requis que l'assistance judiciaire lui soit octroyée et que son conseil soit nommé d'office. A l'appui de son recours, l'assuré a notamment allégué qu’il avait finalement obtenu une aide au placement de la part de l'OAI en août 2018, de sorte qu'une rente transitoire devait lui être accordée. Concernant la rente d'invalidité, il a contesté le revenu sans invalidité retenu par la CNA en se fondant sur des renseignements transmis par D.________ SA à son conseil par courrier du 28 novembre 2018. Il a allégué un revenu sans invalidité de l'ordre de 70'000 francs. Il a également contesté le revenu avec invalidité calculé sur la base des DPT. C'était au contraire sa situation effective qu'il y avait lieu de prendre en considération, dès lors qu'il était engagé à plein temps dès le 1er février</w:t>
      </w:r>
    </w:p>
    <w:p>
      <w:r>
        <w:t>- 15 - 2018 [recte : 2019] par I.________ Sàrl, une société active dans le domaine du courtage en assurance, auprès de qui il avait réalisé deux stages du 10 au 21 septembre 2018 et du 16 au 23 novembre 2018. Selon son employeur actuel, le revenu annuel d'un conseiller junior en assurance s'élevait à 55'000 francs. Après comparaison de ces revenus, c'est un taux d'invalidité d'au minimum 16,80 % qu'il fallait retenir. Par réponse du 21 janvier 2019, l'intimée a conclu au rejet du recours. Elle a notamment constaté que l'assuré n'avait pas débuté son activité de courtage au moment de la décision litigieuse, pas plus qu'à ce jour. Il ne s'agissait donc pas d'une activité reposant sur des rapports de travail particulièrement stables. La CNA était ainsi fondée à établir le revenu d'invalide sur la base des données salariées résultant des DPT. S'agissant du revenu sans invalidité, l'intimée a procédé à un nouveau calcul, se fondant sur les informations transmises par D.________ SA. Le revenu sans invalidité s'élevait désormais à 64'156 fr 95. Comparé au revenu d'invalide issu des DPT, il en ressortait un taux d'invalidité de 5,83 %, arrondi à 6 %, ce qui était toujours insuffisant pour ouvrir un droit à une rente. Répliquant le 23 janvier 2019, l'assuré a confirmé ses conclusions. Par courrier du 30 avril 2019, l'assuré a personnellement précisé qu'il travaillait toujours auprès de la société I.________ Sàrl. Par courrier du 2 avril 2020, le juge instructeur de la Cour de céans a informé les parties que les compléments d'instruction requis étaient rejetés, sur la base d'une appréciation anticipée des preuves, dans la mesure où ils n'avaient pas déjà été ordonnés. Le 19 juin 2020, Me Loroch a produit la liste de ses opérations. Par courrier du 22 juin 2019, le juge instructeur a requis du recourant qu’il produise le formulaire ad hoc de demande d’assistance</w:t>
      </w:r>
    </w:p>
    <w:p>
      <w:r>
        <w:t>- 16 - judiciaire. Le 20 août 2020, l’assuré a retiré sa demande d’assistance judiciaire.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droit aux indemnités journalières et à la prise en charge d'une séance de physiothérapie par semaine ainsi qu'à la prise en charge d'antalgiques, pour la période postérieure au 31</w:t>
      </w:r>
    </w:p>
    <w:p>
      <w:r>
        <w:t>- 17 - décembre 2017. Il porte également sur le droit à une rente dès la fin du droit aux indemnités journalières. On précisera que la CNA a admis de prendre en charge une séance de physiothérapie toutes les deux semaines jusqu'à deux ans après l'accident, il n'y a donc pas lieu de revenir plus avant sur ce point. c) 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3. a) Aux termes de l’art. 6 al. 1 LAA, si la loi n’en dispose pas autrement, les prestations d’assurance sont allouées en cas d’accident professionnel, d’accident non professionnel et de maladie professionnelle. L'assurance alloue en outre ses prestations pour les lésions causées à l'assuré victime d'un accident lors du traitement médical (art. 6 al. 3 LAA). L’assurance-accidents ne répond que des atteintes à la santé qui sont en relation de causalité non seulement naturelle mais encore adéquate avec un événement assuré ou une maladie professionnelle (ATF 129 V 177 consid. 3.1 et 3.2). b)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Si l'assuré est invalide (cf. art. 8 LPGA) à 10 % au moins par suite de l'accident, il a droit à une rente d'invalidité (cf. art. 18 al. 1 LAA). Le droit à la rente prend naissance dès qu'il n'y a plus lieu d'attendre de la</w:t>
      </w:r>
    </w:p>
    <w:p>
      <w:r>
        <w:t>- 18 -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(cf. art.</w:t>
      </w:r>
    </w:p>
    <w:p>
      <w:r>
        <w:rPr>
          <w:b/>
        </w:rPr>
        <w:t>E. 19</w:t>
      </w:r>
    </w:p>
    <w:p>
      <w:r>
        <w:t>al. 1 LAA). c) L'art. 19 al. 1 LAA délimite temporellement le droit au traitement médical ainsi qu’aux indemnités journalières et le droit à la rente d'invalidité, le moment déterminant étant celui auquel l'état de santé peut être considéré comme relativement stabilisé (TFA U 391/00 du 9 mai 2001 consid. 2a). Pour qu’il soit possible de statuer sur la rente, il faut que le traitement ne puisse plus entraîner d'amélioration ni éviter de péjoration de l'état de santé, de sorte que celui-ci doive être considéré comme stable (cf. TF 8C_1023/2008 du 1er décembre 2009 consid. 5.1 et 5.2 avec la jurisprudence citée). Par amélioration sensible de l’état de santé, il faut entendre l'amélioration ou la récupération de la capacité de travail (ATF 134 V 109 consid. 4.3 et les références citées).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(TFA U 244/04 consid. 3.1). L’évolution de l'état de santé de la personne assurée doit être établie avec une vraisemblance prépondérante sur la base d’un pronostic et non sur la base de constatations rétrospectives (TFA U 244/04 consid. 3.1 avec références citées ; TF 8C_29/2010 du 27 mai 2010 consid. 4.2). d) L'art. 19 al. 3 LAA prévoit que le Conseil fédéral édicte des prescriptions détaillées sur la naissance du droit à la rente lorsque l'on ne peut plus attendre de la continuation du traitement médical une sensible amélioration de l'état de l'assuré, mais que la décision de l'assurance- invalidité quant à la réadaptation professionnelle intervient plus tard.</w:t>
      </w:r>
    </w:p>
    <w:p>
      <w:r>
        <w:t>- 19 - En application de cette disposition, le Conseil fédéral a édicté l'art. 30 OLAA (ordonnance du 20 décembre 1982 sur l’assurance- accidents ; RS 832.202). Selon son al. 1,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 l'AI (let. a), avec la décision négative de l'AI concernant la réadaptation professionnelle (let. b) ou avec la fixation de la rente définitive (let. c).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sans attendre ce résultat. C'est donc une prestation temporaire, fixée provisoirement, et qui doit être allouée aussi bien pendant le déroulement des mesures de réadaptation de l'assurance- invalidité que pendant la période qui va de la fin du traitement médical jusqu'au moment où la décision est prise quant à d'éventuelles mesures de réadaptation, cas échéant à la mise en œuvre de celles-ci (arrêt TF U 331/04 du 31 octobre 2005 consid. 2.2 et ATF 139 V 514 consid. 2.3). Cette rente allouée à titre transitoire et jusqu'au moment où, à l'issue des mesures de réadaptation, il sera possible de fixer de façon certaine le degré d'invalidité de l'assuré, ne doit pas être confondue avec la rente allouée à titre temporaire, sur la base d'une appréciation anticipée de l'invalidité en fonction de l'accoutumance prévisible de l'assuré aux séquelles de l'accident (ATF 116 V 246 consid. 2b). 4. a) Aux termes de l’art. 18 al. 1 LAA, si l’assuré est invalide à 10 % au moins par suite d’un accident, il a droit à une rente d’invalidité, pour autant que l’accident soit survenu avant l’âge ordinaire de la retraite.</w:t>
      </w:r>
    </w:p>
    <w:p>
      <w:r>
        <w:t>- 20 -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w:t>
      </w:r>
    </w:p>
    <w:p>
      <w:r>
        <w:rPr>
          <w:b/>
        </w:rPr>
        <w:t>E. 23</w:t>
      </w:r>
    </w:p>
    <w:p>
      <w:r>
        <w:t>septembre 2014 consid. 4.2). e) Comme le revenu sans invalidité, le revenu avec invalidité doit être évalué avant tout en fonction de la situation professionnelle concrète de la personne assurée. Le revenu effectivement réalisé par la</w:t>
      </w:r>
    </w:p>
    <w:p>
      <w:r>
        <w:t>- 21 -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dans l’Enquête suisse sur la structure des salaires (ESS), tandis que la seconde repose sur les données salariales résultant de descriptions de postes de travail (DPT) récoltées par la CNA (ATF 139 V 592 consid. 2.3 ; 135 V 297 consid. 5.2 ;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5.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- 22 -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On admettra, en l'espèce, qu'il n'y avait effectivement plus lieu d'attendre de la poursuite du traitement une amélioration notable de l'état de santé, postérieurement au 31 décembre 2017. Sur le plan orthopédique, le recourant ne conteste pas que son état de santé était stabilisé. Sur le plan neurologique, il ressort des rapports du Dr V.________ que la situation a progressé, certes lentement, jusqu'en juin 2017, mais qu'elle s'est ensuite stabilisée (rapport du 6 juillet 2017). En octobre 2017, une nouvelle amélioration ne pouvait être totalement exclue, mais n'était plus vraisemblable au degré de la vraisemblance prépondérante ; elle n'aurait au demeurant pas permis d'améliorer notablement la capacité de travail de l'assuré ni dans sa profession – qui n'était plus adaptée au vu des séquelles tant orthopédiques que neurologiques – ni dans une activité adaptée (rapport du 12 octobre 2017). Pour ces deux motifs, l'intimée était en droit de constater que l'état de santé était stabilisé au sens de l'art. 19 al. 1 LAA et de mettre fin aux indemnités journalières ainsi qu'à la prise en charge du traitement médical. Les rapports du Dr G.________ ne permettent pas de constater le contraire. N'émanant pas d'un spécialiste en neurologie, ces rapports ne sont au demeurant pas objectivés médicalement. Le traitement antalgique prescrit par la Dre Z.________ a pour unique but de soulager la douleur, ce qui ne suffit pas à admettre qu'il permet une amélioration notable de l'état de santé.</w:t>
      </w:r>
    </w:p>
    <w:p>
      <w:r>
        <w:t>- 23 - Dans ce contexte, on peut se demander si la CNA n'aurait pas dû statuer, à l'époque, sur l'IPAI. La question n'est toutefois pas déterminante en l'occurrence. On se limitera donc à remarquer que la Dre C.________ n'attendait pas de l'hypothétique amélioration sur le plan neurologique, dans un délai de deux ans après l'accident, une amélioration notable de la capacité de travail. Il en va de même pour le Dr V.________, quand bien même il n'excluait pas totalement une amélioration fonctionnelle qu'il souhaitait éviter de compromettre par une physiothérapie trop intensive. Une instruction complémentaire sur la question de la stabilisation de l'état de santé n'apparait pas nécessaire, au vu de ce qui précède. La CNA était légitimée à considérer que l'état de santé du recourant était stabilisé, de mettre fin aux prestations en cours au 31 décembre 2017 et d'examiner son droit à une rente. 7. a) S'agissant du droit à la rente, le recourant conteste le revenu sans invalidité retenu par l'intimée et soutient qu'il aurait pu réaliser un revenu de 70'000 fr. en 2017. Il se réfère à un courrier du 28 novembre 2018 de son précédent employeur à son mandataire. Il appert que ce courrier documente de manière plus détaillée le revenu que l'assuré aurait réalisé en 2017 s'il n'avait pas été incapable de travailler que le formulaire sur lequel la CNA s'est fondée. Il y a donc lieu de s'y référer. Selon les renseignements transmis par D.________ SA, le salaire de base annuel de l'assuré se serait élevé à 60'729 fr. en 2017, compte tenu d'une augmentation de 0,7 % qu'il aurait obtenue au mois d'avril. Une part variable fondée sur des objectifs d'équipe, située entre 2'750 fr. et 5'500 fr. au maximum, se serait ajoutée au salaire de base. L'ex- employeur a précisé à ce sujet que si l'intéressé avait travaillé toute l'année en 2017, il aurait obtenu une part variable de 4'565 fr. au plus, pour un taux d’atteinte des objectifs de 165 % par tous les collaborateurs du shop, ce qui était exceptionnel. S'agissant des primes, le recourant</w:t>
      </w:r>
    </w:p>
    <w:p>
      <w:r>
        <w:t>- 24 - avait perçu en moyenne annuelle un montant de 789 fr. depuis son engagement. Il en résulte un revenu sans invalidité de 66'083 francs. Rien n'indique que le recourant aurait perçu une indemnisation pour des heures supplémentaires, comme il l'invoque dans son recours, dans la mesure où le précédent employeur a expressément précisé, dans son courrier du 28 novembre 2018, que les collaborateurs des shops avaient des horaires planifiés et ne faisaient en principe pas d'heures supplémentaires. Le recourant se limite à alléguer qu'il en aurait effectuées et estime la rémunération à 3'900 fr. sur une année, au motif qu'il serait « courant qu'un employé, en particulier ceux travaillant dans un […] shop, doive effectuer des heures supplémentaires, ne serait-ce que pour terminer une vente avec un client en fin de service ». Le recourant ne produit aucune attestation de salaire émise par le passé par son employeur qui permettrait d'étayer ses allégations. Celles-ci sont au demeurant expressément contredites par le courrier du 28 novembre 2018 de D.________ SA qu'aucun indice au dossier ne permet d'infirmer. Les fiches de salaire relatives aux mois de juin 2015 à mai 2016, figurant au dossier, confirment les propos de l'employeur. Dans ces conditions, on ne peut tenir pour établi que la rémunération annuelle du recourant aurait été supérieure à 66'083 fr. au moment déterminant pour l'évaluation du droit à la rente, sans qu'il soit utile de compléter l'instruction sur ce point, en particulier par une nouvelle interpellation de l'ancien employeur. Le revenu sans invalidité s'élève donc à 66'083 fr. au plus. b) En ce qui concerne le revenu avec invalidité, le recourant ne soulève pas de grief particulier sur le calcul effectué par l'intimée, mais conteste l'utilisation des DPT. Il soutient que, dans la mesure où il a retrouvé une nouvelle activité professionnelle, il faut se référer au revenu qu'il peut réaliser dans cette nouvelle activité, soit 55'000 fr. annuellement. On ne peut toutefois suivre le recourant sur ce point. Ce revenu est en effet notablement inférieur à celui qu'il pourrait réaliser si l'on se réfère aux descriptions de postes de travail utilisées par la CNA,</w:t>
      </w:r>
    </w:p>
    <w:p>
      <w:r>
        <w:t>- 25 - mais également si l'on se rapporte à l'ESS sur laquelle s'est fondé l'OAI pour fixer le revenu d'invalide dans sa décision du 4 mai 2018. Dans son actuelle activité, l'assuré n'épuise donc pas sa capacité résiduelle de gain. En outre, et indépendamment de ce qui précède, il n'avait pas encore retrouvé d'activité lucrative au moment où la CNA a statué, mais seulement réalisé deux stages. Le contrat a été signé le 26 novembre 2018, de sorte que l'intimée ne pouvait pas se référer à cette nouvelle activité, celle-ci ne constituant alors pas un rapport de travail stable. Pour le surplus, il convient de constater que lors du choix des DPT, la CNA a respecté les conditions imposées par la jurisprudence en la matière et a pris en compte les limitations fonctionnelles de l'assuré. Le revenu d'invalide de 60'415 fr. retenu par l'intimée peut être confirmé. Enfin, le choix des DPT, dans l’optique d’une éventuelle rente transitoire au sens de l’art. 30 OLAA, ne prête pas non plus le flanc à la critique. En effet, les postes retenus ne nécessitent aucune qualification ou formation particulière, les rendant ainsi raisonnablement exigibles sans attendre d’éventuelles mesures de réadaptation octroyées par l’assurance-invalidité. c) Au vu de ce qui précède, le taux d'invalidité présenté par le recourant est de 8,58 % ([66'083 – 60'415] x 100 : 66'083) et le droit à une rente d'invalidité – définitive ou transitoire – n'est pas ouvert, dès lors que le taux est inférieur au seuil légal de 10 %. d) En l’absence de rente, le recourant n’a pas non plus droit au traitement médical après la fixation de la rente (art. 21 LAA). 8. a) Au vu de ce qui précède, le recours doit être rejeté et la décision sur opposition litigieuse confirmée. b) Il n’y a pas lieu de percevoir de frais judiciaires, la procédure étant gratuite (art. 61 let. a LPGA), ni d’allouer de dépens, dès lors que le recourant n’obtient pas gain de cause (art. 61 let. g LPGA).</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