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ZA18.051222 vom 12. März 2020</w:t>
      </w:r>
    </w:p>
    <w:p>
      <w:r>
        <w:t>VD Tribunal cantonal, 2020-03-12, FR</w:t>
      </w:r>
    </w:p>
    <w:p>
      <w:r>
        <w:rPr>
          <w:b/>
        </w:rPr>
        <w:t xml:space="preserve">Quelle: </w:t>
      </w:r>
      <w:r>
        <w:t>https://mcp.opencaselaw.ch/entscheid/vd_gerichte_ZA18.051222</w:t>
      </w:r>
    </w:p>
    <w:p>
      <w:r>
        <w:t>FR: VD_GERICHTE ZA18.051222 du 12 mars 2020</w:t>
      </w:r>
    </w:p>
    <w:p>
      <w:r>
        <w:t>IT: VD_GERICHTE ZA18.051222 del 12 marzo 2020</w:t>
      </w:r>
    </w:p>
    <w:p>
      <w:pPr>
        <w:pStyle w:val="Heading2"/>
      </w:pPr>
      <w:r>
        <w:t>Erwägungen</w:t>
      </w:r>
    </w:p>
    <w:p>
      <w:r>
        <w:rPr>
          <w:b/>
        </w:rPr>
        <w:t>E. 6</w:t>
      </w:r>
    </w:p>
    <w:p>
      <w:r>
        <w:t>Si l’assureur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de rechercher d’autres preuves (appréciation anticipée des preuves ; ATF</w:t>
      </w:r>
    </w:p>
    <w:p>
      <w:r>
        <w:t>- 20 - 131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l’instruction apparaît suffisante, les éléments au dossier permettant à la Cour de céans de statuer en pleine connaissance de cause, de sorte qu’il n’y a pas lieu d’ordonner de mesures d’instruction complémentaires. En conséquence, la mise en œuvre d’une expertise telle que requise par le recourant n’apparaît pas de nature à apporter un éclairage différent des éléments retenus ci-dessus et peut dès lors être écartée par appréciation anticipée des preuves (ATF 137 III 208 consid. 2.2 ; 135 II 286 consid. 5.1).</w:t>
      </w:r>
    </w:p>
    <w:p>
      <w:r>
        <w:rPr>
          <w:b/>
        </w:rPr>
        <w:t>E. 7</w:t>
      </w:r>
    </w:p>
    <w:p>
      <w:r>
        <w:t>a) En définitive, le recours doit être rejeté et la décision entreprise confirmée. b) Il n’y a pas lieu de percevoir de frais judiciaires, la procédure étant gratuite (art. 61 let. a LPGA), ni d’allouer de dépens, dès lors que le recourant n’obtient pas gain de cause (art. 61 let. g LPGA). c) Par décision de la juge instructrice du 17 janvier 2019, le recourant a été mis au bénéfice de l’assistance judiciaire avec effet au 17 décembre 2018 et a obtenu à ce titre la commission d’un avocat d’office en la personne de Me Christian Chillà. Ce dernier a produit sa liste des opérations le 9 octobre 2019. Les opérations effectuées avant le 17 décembre 2018 ne sauraient être prises en compte. Il y a ainsi lieu de réduire le temps consacré au dossier à 18h20 (au lieu de 20h10) soit, au tarif horaire de 180 fr., à 3'300 francs. La liste produite comprend également des débours. Il convient toutefois sur ce dernier point d’appliquer le forfait de 5 % du défraiement hors taxe (art. 3bis al. 1 RAJ [règlement cantonal du 7 décembre 2010 sur l’assistance judiciaire en matière civile ; BLV 211.02.3]), soit 165 francs. Il y a lieu d’ajouter encore la TVA au taux de 7,7%. Au final, le montant de l’indemnité de Me Chillà est arrêté à 3'731 fr. 80 fr. (3’300 fr. + 165 fr. + 266 fr. 80 [3'465 fr. x 7.7%]), débours et TVA compris.</w:t>
      </w:r>
    </w:p>
    <w:p>
      <w:r>
        <w:t>- 21 -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