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ZA18.041201 vom 28. September 2020</w:t>
      </w:r>
    </w:p>
    <w:p>
      <w:r>
        <w:t>VD Tribunal cantonal, 2020-09-28, FR</w:t>
      </w:r>
    </w:p>
    <w:p>
      <w:r>
        <w:rPr>
          <w:b/>
        </w:rPr>
        <w:t xml:space="preserve">Quelle: </w:t>
      </w:r>
      <w:r>
        <w:t>https://mcp.opencaselaw.ch/entscheid/vd_gerichte_ZA18.041201</w:t>
      </w:r>
    </w:p>
    <w:p>
      <w:r>
        <w:t>FR: VD_GERICHTE ZA18.041201 du 28 septembre 2020</w:t>
      </w:r>
    </w:p>
    <w:p>
      <w:r>
        <w:t>IT: VD_GERICHTE ZA18.041201 del 28 settembre 2020</w:t>
      </w:r>
    </w:p>
    <w:p>
      <w:pPr>
        <w:pStyle w:val="Heading2"/>
      </w:pPr>
      <w:r>
        <w:t>Erwägungen</w:t>
      </w:r>
    </w:p>
    <w:p>
      <w:r>
        <w:rPr>
          <w:b/>
        </w:rPr>
        <w:t>E. 1</w:t>
      </w:r>
    </w:p>
    <w:p>
      <w:r>
        <w:t>a) La LPGA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l’absence de grief motivé soulevé dans le cadre de l’opposition du 26 juin 2018 quant au taux de 20 % d’IPAI retenu par la CNA dans sa décision initiale du 11 juin 2018, le litige tel que circonscrit par la décision sur opposition litigieuse porte uniquement sur l’étendue du droit du recourant à une rente d’invalidité de l’assurance-accidents, singulièrement sur le taux d'invalidité justifiant l'allocation d'une prestation plus élevée que la rente de 12 % accordée à compter du 1er avril 2018. b) On précisera que les modifications de la LAA introduites par la novelle du 25 septembre 2015 (RO 2016 4375), entrée en vigueur le 1er</w:t>
      </w:r>
    </w:p>
    <w:p>
      <w:r>
        <w:t>- 8 - janvier 2017, sont applicables au cas d’espèce, vu la date de l’accident assuré (cf. ch. 1 des dispositions transitoires relatives à cette modification).</w:t>
      </w:r>
    </w:p>
    <w:p>
      <w:r>
        <w:rPr>
          <w:b/>
        </w:rPr>
        <w:t>E. 3</w:t>
      </w:r>
    </w:p>
    <w:p>
      <w:r>
        <w:t>S’agissant de la rente d’invalidité, plus particulièrement du taux de celle-ci, l’intimée a confirmé que, malgré les séquelles de l’accident de févier 2017 et après la stabilisation de l’état de santé au début de l’année 2018, le recourant était en mesure de travailler à 100 % dans une activité adaptée, à savoir un poste de travail léger de type industriel, exercé à hauteur de table ou d’établi pour épargner son épaule droite. In casu, la comparaison des revenus raisonnablement exigibles laissait apparaître une perte de gain ouvrant le droit à une rente d'invalidité de l'assurance-accidents de 12 % à partir du 1er avril 2018. De son côté, le recourant allègue ne pas être en mesure d’exercer une activité adaptée à plein temps en raison de son absence de formation, de ses douleurs au bras droit trop pénibles s’il devait travailler à un taux supérieur à 50 %, ajoutant que son âge et son manque de maîtrise de la langue française constitueraient des freins à l’engagement par de potentiels employeurs. Estimant ne pas être en mesure de retrouver un emploi à plein temps sur un marché équilibré du travail, il conteste le revenu d’invalide en invoquant présenter un degré d’invalidité supérieur à celui retenu par l’intimée.</w:t>
      </w:r>
    </w:p>
    <w:p>
      <w:r>
        <w:rPr>
          <w:b/>
        </w:rPr>
        <w:t>E. 4</w:t>
      </w:r>
    </w:p>
    <w:p>
      <w:r>
        <w:t>a) aa)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w:t>
      </w:r>
    </w:p>
    <w:p>
      <w:r>
        <w:t>- 9 -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cc) En l’espèce, les pièces médicales versées au dossier par le médecin d’arrondissement T.________ comme par le médecin traitant W.________ établissent que le recourant dispose, malgré des séquelles définitives à l’épaule droite ne lui permettant plus l’exercice de la profession habituelle de chauffeur poids lourds, d’une pleine capacité de travail dans une activité légère dans différents secteurs de l’industrie, à la condition de ne pas devoir mettre à forte contribution son épaule droite (profession exercée à hauteur de table ou d’établi). Le litige porte, s’agissant du droit à la rente, sur le bien-fondé du constat d’un état stabilisé avec un retour à une capacité de travail théorique entière, respectivement sur le calcul du degré d’invalidité. b)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w:t>
      </w:r>
    </w:p>
    <w:p>
      <w:r>
        <w:t>- 10 -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bb) Il ressort en l’occurrence du dossier que l’affection du recourant à son épaule droite consécutive à l’accident s’est lentement améliorée jusqu’à sa stabilisation. Sur la base des limitations fonctionnelles définitives retenues au terme de l’appréciation finale du 12 mars 2018 faite par le médecin d’arrondissement de l’intimée, au demeurant corroborée par le rapport établi le 13 février 2018 par le Dr W.________, ainsi que de l’absence de mesures de réadaptation allouées par l’assurance-invalidité, il y a lieu d’admettre que la situation était stabilisée au plus tard le 1er avril 2018. Aussi, il convient de retenir comme année de référence pour procéder à la comparaison des revenus l'année 2018. c)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w:t>
      </w:r>
    </w:p>
    <w:p>
      <w:r>
        <w:t>- 11 - bb) En l’occurrence, le recourant ne remet pas en cause le revenu hypothétique sans invalidité. Vérifié d’office, le montant retenu, de 67'410 fr., calculé sur la base des renseignements communiqués le 17 janvier 2018 à la CNA par l’ex-employeur (pièce 81), peut être confirmé. d)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une activité ne correspondant pas à l’exigibilité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et 129 V 472 consid. 4.2.1 ; TF 8C_287/2010 du 18 novembre 2010 consid. 3).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extraites de l’ESS pour apprécier le salaire d’invalide, même si le Tribunal fédéral a renoncé à donner la préférence à l’une ou l’autre de ces méthodes d’évaluation (ATF 129 V 472 consid. 4.2 ; cf. FRÉSARD/MOSER-SZELESS, L'assurance-accidents obligatoire, in : Schweizerisches Bundesverwaltungsrecht, Soziale Sicherheit, 3ème éd., Bâle 2016, n° 240 p. 980).</w:t>
      </w:r>
    </w:p>
    <w:p>
      <w:r>
        <w:t>- 12 - bb) En l’espèce, le revenu d’invalide a été évalué sur la base des descriptions de postes de travail (DPT) récoltées au dossier qui sont conformes aux limitations fonctionnelles retenues et ne sont dès lors, à juste titre, pas critiquables, cette documentation servant à estimer le revenu d’invalide sur la base de possibilités d’emplois concrets et exigibles. Conformément à la jurisprudence (ATF 129 V 472 consid. 4.2.2 ; TF U 81/2005 du 14 juin 2006 consid. 3.2), l’autorité intimée a produit cinq DPT, elle a communiqué le nombre total de postes de travail pouvant entrer en considération d’après le type de handicap ainsi que le salaire le plus haut et le plus bas et aussi le salaire moyen du groupe auquel il est fait référence. Pour le surplus, aucun abattement ne peut être effectué sur le revenu avec invalidité établi sur la base des descriptions de postes de travail (ATF 129 V 472 consid. 4.2.3). C’est le lieu de relever que, selon l’art. 16 LPGA, l’évaluation du taux d’invalidité s’effectue à l’aune d’« un marché du travail équilibré ». Cette notion, théorique et abstraite, sert de critère de distinction entre les cas tombant sous le coup de l'assurance-chômage et ceux qui relèvent de l'assurance-accidents. Elle présuppose un équilibre entre l’offre et la demande de main de main d’œuvre d’une part et un marché du travail structuré (offrant un éventail d’emplois diversifiés, tant au regard des sollicitations intellectuelles que physiques) d’autre part (ATF 110 V 273 consid. 4b).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Le caractère irréaliste des possibilités de travail doit alors découler de l'atteinte à la santé – puisqu'une telle atteinte est indispensable à la reconnaissance de l'invalidité (art. 7 et 8 LPGA) – et non de facteurs psychosociaux ou socioculturels qui sont étrangers à la définition juridique de l'invalidité (TF 8C_303/2018 du 26 novembre 2018 consid. 5.1 et les références). Or les motifs invoqués par le recourant, tels le défaut de formation, la faible maîtrise de la langue française et l’âge sont des facteurs étrangers à</w:t>
      </w:r>
    </w:p>
    <w:p>
      <w:r>
        <w:t>- 13 - l’invalidité (cf. TF 8C_175/2017 du 30 octobre 2017 consid. 5.3), et ne sont pas à prendre en considération par l’intimée. Enfin, s’agissant des douleurs alléguées, tant lors de son examen par le médecin d’arrondissement de la CNA du 27 novembre 2017 que de celui du 12 mars 2018, le recourant a déclaré avoir peu de douleurs. De son côté, le Dr T.________, spécialiste en chirurgie, a constaté une épaule droite souple, mais douloureuse à la mobilisation au passage à l’horizontale (rapport d’examen final par le médecin d’arrondissement du 12 mars 2018 p. 3 [pièce 98]). L’intimée a retenu une capacité de travail entière de l’assuré dans une activité adaptée exercée à hauteur d’établi, ne nécessitant pas de passage à l’horizontale. Dans ces conditions, le grief du recourant selon lequel, même dans une activité adaptée, il ne saurait travailler à un taux supérieur à 50 % en raison des douleurs occasionnées, ne résiste pas à l’examen et doit également être rejeté. e) En ce qui concerne le calcul de la rente d’invalidité, le recourant n’invoque au final aucun argument concret susceptible de valablement rediscuter le bien-fondé du résultat obtenu par la CNA. Après comparaison des revenus sans (67’410 fr.) et avec invalidité (59’449 fr.), il en résulte un degré d’invalidité de 11,80 %, arrondi à 12 % (ATF 130 V 121 consid. 3.2) ouvrant le droit à la rente de l’assurance-accidents dès le 1er avril 2018 (cf. art. 18 al. 1 LAA), ainsi que l’a retenu la CNA aux termes de sa décision.</w:t>
      </w:r>
    </w:p>
    <w:p>
      <w:r>
        <w:rPr>
          <w:b/>
        </w:rPr>
        <w:t>E. 5</w:t>
      </w:r>
    </w:p>
    <w:p>
      <w:r>
        <w:t>a) Mal fondé, le recours doit en conséquence être rejeté, ce qui entraîne la confirmation de la décision attaquée. b) La procédure étant en principe gratuite (art. 61 let. a LPGA), il n’y a pas lieu de percevoir de frais judiciaires, ni d’allouer de dépens au recourant – au demeurant non assisté des services d’un mandataire qualifié pour la défense de ses intérêts – au vu de l’issue du litige (art. 61 let. g LPGA a contrario). De son côté, bien qu’obtenant gain de cause, l’intimée n’a pas droit à des dépens, dès lors qu’il n’y a pas lieu d’allouer</w:t>
      </w:r>
    </w:p>
    <w:p>
      <w:r>
        <w:t>- 14 - d’indemnité pour les frais de procès aux organismes chargés de tâches de droit public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