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ZA18.041004 vom 5. Dezember 2018</w:t>
      </w:r>
    </w:p>
    <w:p>
      <w:r>
        <w:t>VD Tribunal cantonal, 2018-12-05, FR</w:t>
      </w:r>
    </w:p>
    <w:p>
      <w:r>
        <w:rPr>
          <w:b/>
        </w:rPr>
        <w:t xml:space="preserve">Quelle: </w:t>
      </w:r>
      <w:r>
        <w:t>https://mcp.opencaselaw.ch/entscheid/vd_gerichte_ZA18.041004</w:t>
      </w:r>
    </w:p>
    <w:p>
      <w:r>
        <w:t>FR: VD_GERICHTE ZA18.041004 du 5 décembre 2018</w:t>
      </w:r>
    </w:p>
    <w:p>
      <w:r>
        <w:t>IT: VD_GERICHTE ZA18.041004 del 5 dicembre 2018</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w:t>
      </w:r>
    </w:p>
    <w:p>
      <w:r>
        <w:t>- 5 -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statuant en tant que juge unique (art. 94 al. 1 let. a LPA-VD). c) Interjeté en temps utile et dans le respect des formalités prévues par la loi (art. 61 let. b LPGA), le recours est recevable.</w:t>
      </w:r>
    </w:p>
    <w:p>
      <w:r>
        <w:rPr>
          <w:b/>
        </w:rPr>
        <w:t>E. 2</w:t>
      </w:r>
    </w:p>
    <w:p>
      <w:r>
        <w:t>Le litige porte sur le point de savoir si l’intimée doit prendre en charge les suites de l’événement du 21 mai 2018.</w:t>
      </w:r>
    </w:p>
    <w:p>
      <w:r>
        <w:rPr>
          <w:b/>
        </w:rPr>
        <w:t>E. 3</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et 129 V 402 consid. 2.1 avec les références).</w:t>
      </w:r>
    </w:p>
    <w:p>
      <w:r>
        <w:t>- 6 - b) Dans le domaine des lésions dentaires survenant à l’occasion de la consommation d’aliments, la présence d’un accident est admise lorsque le bris d’une dent survient au contact d’un élément dur exogène, de nature à causer la lésion incriminée, qui habituellement ne se trouve pas dans l’aliment consommé ; la présence de ce corps étranger doit en effet pouvoir être qualifiée d’extraordinaire (Stéphanie Perrenoud, in : Dupont/Moser-Szeless [éd.], Commentaire romand de la loi sur la partie générale des assurances sociales, Bâle 2018, n° 31 ad art. 4).</w:t>
      </w:r>
    </w:p>
    <w:p>
      <w:r>
        <w:rPr>
          <w:b/>
        </w:rPr>
        <w:t>E. 4</w:t>
      </w:r>
    </w:p>
    <w:p>
      <w:r>
        <w:t>a) La procédure dans le domaine des assurances sociales est régie par le principe inquisitoire. D'après ce principe,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ATF 125 V 193 consid. 2 et les références).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 b) S’agissant des lésions dentaires se produisant à l’occasion de la consommation d’aliments, l’apport de la preuve est soumis à des</w:t>
      </w:r>
    </w:p>
    <w:p>
      <w:r>
        <w:t>- 7 - exigences particulières, puisque les indications de la personne assurée doivent permettre de décrire « de manière précise et détaillée » l’élément qui a occasionné la lésion, c’est-à-dire, d’identifier le corpus delicti ; ainsi, il ne suffit pas que l’assuré déclare avoir mordu dans « un corps étranger » ou dans « quelque chose de dur », ni qu’il croie avoir identifié l’objet en cause. Lorsque l’assuré ne parvient pas à fournir des indications permettant de décrire de manière précise et détaillée le corpus delicti, l’autorité administrative, ou le juge, dans l’hypothèse d’un recours, n’est pas en mesure de porter un jugement fiable sur la nature du facteur en cause, et encore moins sur le caractère extraordinaire de celui-ci. La circonstance que le plat lui-même ne soit pas censé contenir d’ingrédients pouvant expliquer le bris d’une dent (un pain au lait, p. ex.) ne suffit pas (Perrenoud, op. cit., n° 35 ad art. 4 et les références citées).</w:t>
      </w:r>
    </w:p>
    <w:p>
      <w:r>
        <w:rPr>
          <w:b/>
        </w:rPr>
        <w:t>E. 5</w:t>
      </w:r>
    </w:p>
    <w:p>
      <w:r>
        <w:t>En l’espèce, le recourant n’a pas été en mesure de décrire de manière précise et détaillée l’élément dans lequel il avait mordu. Il a émis l’hypothèse qu’il s’agissait d’un petit caillou, d’un bris de verre, ou d’un morceau d’assiette ébréchée, mais cela n’est pas établi. Le craquement entendu n’est à cet égard pas suffisant. Il n’est nullement exclu que l’objet en question consistait en un croûton de pain grillé plus dur, un morceau de noix dans un croûton de pain (cf. TF 8C_750/2015 du 18 janvier 2016 consid. 5, concernant également une lésion dentaire survenue alors que l’assuré mangeait une salade César), ou un fragment d’os de poulet qui aurait échappé au tri effectué en cuisine. Quoi qu’il en soit, en l’absence de description précise de l’objet dans lequel l’assuré a mordu, on ne peut conclure à la présence d’un corps étranger pouvant être qualifiée d’extraordinaire. Le recourant soutient que T.________ ne peut pas prouver qu’il s’agissait d’un ingrédient de salade plus dur que les autres. Toutefois, il appartient à celui qui réclame des prestations de l'assurance-accidents de rendre plausible que les éléments d'un accident sont réunis. Si tel n’est pas le cas, comme en l’espèce, l'assurance n'est pas tenue de prendre le cas en charge. L’intimée était ainsi fondée à refuser d’allouer des prestations pour les suites de l’événement du 21 mai 2018.</w:t>
      </w:r>
    </w:p>
    <w:p>
      <w:r>
        <w:t>- 8 -</w:t>
      </w:r>
    </w:p>
    <w:p>
      <w:r>
        <w:rPr>
          <w:b/>
        </w:rPr>
        <w:t>E. 6</w:t>
      </w:r>
    </w:p>
    <w:p>
      <w:r>
        <w:t>Le recourant se prévaut encore d’une violation de l’obligation de renseigner par l’intimée.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(ATF 131 V 472 consid. 5 ; TF 9C_287/2017 du 22 août 2017 consid. 5.1). b) En l’espèce, le recourant fait valoir que l’intimée ne l’a pas informé qu’il devait lui transmettre l’élément dur, lorsqu’il l’avait appelée le lendemain de l’événement, puis dans le formulaire de déclaration d’accident. Ce n’était que lorsqu’il avait complété le questionnaire de l’intimée le 11 juin 2018 qu’il avait eu connaissance de cette demande. Or, à cette date, il ne lui était plus possible de récupérer l’objet, du fait du processus de digestion. Cependant, contrairement à ce que semble soutenir l’intéressé, la présentation du corps dur en question n'est pas une condition sine qua non pour établir l'existence d'un facteur extérieur extraordinaire (cf. CASSO AA 71/14 – 109/2016 du 31 octobre 2016 consid. 6). L’assuré doit toutefois décrire avec précision l’objet dans lequel il a mordu, ce qu’il n’a pas été en mesure de faire étant donné qu’il ne l’a pas recraché immédiatement, ce qui est déterminant dans le présent litige.</w:t>
      </w:r>
    </w:p>
    <w:p>
      <w:r>
        <w:t>- 9 - Des renseignements plus précis de l’intimée, par téléphone le lendemain de l’événement litigieux, puis par le formulaire préimprimé de déclaration d’accident complété par l’employeur trois jours après, n’auraient pas pu lui être utiles. Au demeurant, dans un tel formulaire, l’assureur ne peut envisager toutes les éventualités d’accidents possibles et prévoir une question précise pour chacune de ces éventualités.</w:t>
      </w:r>
    </w:p>
    <w:p>
      <w:r>
        <w:rPr>
          <w:b/>
        </w:rPr>
        <w:t>E. 7</w:t>
      </w:r>
    </w:p>
    <w:p>
      <w:r>
        <w:t>a) En définitive, le recours, mal fondé, doit être rejeté et la décision sur opposition attaquée confirmée. b) La procédure étant gratuite (art. 61 let. a LPGA), il n'y a pas lieu de percevoir de frais judiciaires. Le recourant, qui n’obtient pas gain de cause, et qui n’est au demeurant pas représenté par un mandataire professionnel, n'a pas droit à des dépens (art. 61 let. g LPGA et 55 LPA-VD). Par ces motifs, le juge unique p r o n o n c e : I. Le recours est rejeté. II. La décision sur opposition rendue le 3 septembre 2018 par T.________ est confirmée. III. Il n’est pas perçu de frais judiciaires, ni alloué de dépens. Le juge unique : La greffière : Du</w:t>
      </w:r>
    </w:p>
    <w:p>
      <w:r>
        <w:t>- 10 - L'arrêt qui précède est notifié à : - N.________ -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