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ZA18.039353 vom 7. Februar 2019</w:t>
      </w:r>
    </w:p>
    <w:p>
      <w:r>
        <w:t>VD Tribunal cantonal, 2019-02-07, FR</w:t>
      </w:r>
    </w:p>
    <w:p>
      <w:r>
        <w:rPr>
          <w:b/>
        </w:rPr>
        <w:t xml:space="preserve">Quelle: </w:t>
      </w:r>
      <w:r>
        <w:t>https://mcp.opencaselaw.ch/entscheid/vd_gerichte_ZA18.039353</w:t>
      </w:r>
    </w:p>
    <w:p>
      <w:r>
        <w:t>FR: VD_GERICHTE ZA18.039353 du 7 février 2019</w:t>
      </w:r>
    </w:p>
    <w:p>
      <w:r>
        <w:t>IT: VD_GERICHTE ZA18.039353 del 7 febbraio 2019</w:t>
      </w:r>
    </w:p>
    <w:p>
      <w:pPr>
        <w:pStyle w:val="Heading2"/>
      </w:pPr>
      <w:r>
        <w:t>Erwägungen</w:t>
      </w:r>
    </w:p>
    <w:p>
      <w:r>
        <w:rPr>
          <w:b/>
        </w:rPr>
        <w:t>E. 1</w:t>
      </w:r>
    </w:p>
    <w:p>
      <w:r>
        <w:t>a) Les dispositions de la loi fédérale du 6 octobre 2000 sur la partie générale du droit des assurances sociales (LPGA; RS 830.1) s'appliquent à l'assurance-accidents (art. 1 de la loi fédérale du 20 mars 1981 sur l'assurance-accidents [LAA;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Le litige porte sur le droit du recourant au versement des prestations de l’assurance-accidents pour les suites de l’événement du 28 janvier 2017 au-delà du 10 janvier 2018.</w:t>
      </w:r>
    </w:p>
    <w:p>
      <w:r>
        <w:rPr>
          <w:b/>
        </w:rPr>
        <w:t>E. 3</w:t>
      </w:r>
    </w:p>
    <w:p>
      <w:r>
        <w:t>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w:t>
      </w:r>
    </w:p>
    <w:p>
      <w:r>
        <w:t>- 9 - ou psychique ou qui entraîne la mort (art. 4 LPGA). En vertu de l’art. 10 LAA, l’assuré a droit au traitement médical approprié des lésions résultant de l’accident, à savoir (a) au traitement ambulatoire dispensé par le médecin, le dentiste ou, sur prescription de ces derniers, par le personnel paramédical ainsi que par le chiropraticien, de même qu’au traitement ambulatoire dispensé dans un hôpital, (b) aux médicaments et analyses ordonnés par le médecin ou le dentiste, (c) au traitement, à la nourriture et au logement dans la division commune d’un hôpital, (d) aux cures complémentaires et aux cures de bain prescrites par le médecin et (e) aux moyens et appareils servant à la guérison.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 TF 8C_858/2008 du 14 août 2009, consid. 3). c) Le droit à des prestations de l'assurance-accidents suppose en outre l'existence d'un lien de causalité adéquate entre l'événement</w:t>
      </w:r>
    </w:p>
    <w:p>
      <w:r>
        <w:t>- 10 -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et les références).</w:t>
      </w:r>
    </w:p>
    <w:p>
      <w:r>
        <w:rPr>
          <w:b/>
        </w:rPr>
        <w:t>E. 4</w:t>
      </w:r>
    </w:p>
    <w:p>
      <w:r>
        <w:t>a) A teneur de l'art. 6 al. 2 LAA, dans sa teneur en vigueur jusqu’au 31 décembre 2016, le Conseil fédéral pouvait inclure dans l'assurance des lésions corporelles qui sont semblables aux conséquences</w:t>
      </w:r>
    </w:p>
    <w:p>
      <w:r>
        <w:t>- 11 - d'un accident. Faisant usage de cette délégation de compétence, le Conseil fédéral a édicté l'art. 9 al. 2 aOLAA (Ordonnance sur l'assurance- accidents du 20 décembre 1982; RS 832.201), également en vigueur jusqu’au 31 décembre 2016,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b) Le nouvel art. 6 al. 2 LAA, entré en vigueur le 1er janvier 2017, prévoit désormais que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c)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w:t>
      </w:r>
    </w:p>
    <w:p>
      <w:r>
        <w:t>- 12 - aOLAA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129 V 466, 123 V 43 consid. 2b, 116 V 145 consid. 2c, 114 V 298 consid. 3c). d) A l'exception du caractère extraordinaire de la cause extérieure, toutes les autres conditions constitutives de la notion d'accident mentionnées à l'art. 4 LPGA doivent être réalisées en cas de lésion corporelle assimilée à un accident. En particulier, l'existence d'un facteur extérieur doit être établie.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sont à la charge de l'assurance-maladie (ATF 129 V 466 consid. 4 et 123 V 43; TF 8C_662/2016 du 23 mai 2017 consid. 4.2). 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w:t>
      </w:r>
    </w:p>
    <w:p>
      <w:r>
        <w:t>- 13 - f) Le droit aux prestations pour une lésion assimilée à un accident prend fin lorsque le retour à un statu quo ante ou un statu quo sine est établi. Toutefois, de telles lésions seront assimilées à un accident aussi longtemps que leur origine maladive ou dégénérative, à l’exclusion d’une origine accidentelle, n’est pas clairement établie. On ne se fondera donc pas simplement sur le degré de la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8C_698/2007 du 27 octobre 2008 consid. 4.2 , 8C_551/2007 du 8 août 2008 consid. 4.1.2, 8C_357/2007 du 31 janvier 2008 consid. 2).</w:t>
      </w:r>
    </w:p>
    <w:p>
      <w:r>
        <w:rPr>
          <w:b/>
        </w:rPr>
        <w:t>E. 5</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 TF 9C_22/2011 du 16 mai 2011 consid. 5).</w:t>
      </w:r>
    </w:p>
    <w:p>
      <w:r>
        <w:t>- 14 -</w:t>
      </w:r>
    </w:p>
    <w:p>
      <w:r>
        <w:rPr>
          <w:b/>
        </w:rPr>
        <w:t>E. 6</w:t>
      </w:r>
    </w:p>
    <w:p>
      <w:r>
        <w:t>Est litigieuse, en l'espèce, la question de savoir si le recourant a droit aux prestations de l'assurance-accidents pour les troubles ayant nécessité l’arthroscopie pratiquée le 10 janvier 2018. Celui-ci estime, en accord avec son chirurgien traitant, que la déchirure du ménisque du genou droit est d’origine traumatique, soit une conséquence naturelle en lien avec l’accident du 28 avril 2017, de sorte qu’elle doit être prise en charge par l’assurance-accidents. Pour sa part, l’intimée se réfère à l’avis de son médecin-conseil, qui considère que l’événement du 28 avril 2017 n’était pas de nature à entraîner la fissure complexe constatée, mais uniquement les symptômes liés à une contusion pour laquelle le statu quo sine a été atteint environ douze semaines après l’événement annoncé en l’absence de lésion structurelle imputable à l’événement précité.</w:t>
      </w:r>
    </w:p>
    <w:p>
      <w:r>
        <w:rPr>
          <w:b/>
        </w:rPr>
        <w:t>E. 7</w:t>
      </w:r>
    </w:p>
    <w:p>
      <w:r>
        <w:t>Amenée à trancher ce litige, la Cour constate que s’opposent en l’espèce deux points de vue : celui du chirurgien traitant du recourant, d’une part, et celui du médecin-conseil de l’intimée, tous deux spécialistes en chirurgie orthopédique, d’autre part. Ce dernier exclut l’origine accidentelle de la lésion méniscale constatée sans en expliquer les raisons. Il en va de même de l'avis figurant dans le rapport sommaire du Dr H.________ du 8 août 2018, alors que les deux praticiens se fondent sur le même rapport d’IRM du 29 mai 2017. En l’absence d’analyse de la situation médicale et de motivation des conclusions des médecins précités, la Cour de céans n’est pas en mesure de trancher le litige de façon sûre. Dans ces circonstances, il se justifie, conformément à la jurisprudence rappelée au considérant 5 ci-dessus, de renvoyer la cause à l’intimée pour qu'elle ordonne une expertise médicale afin de départager les opinions du médecin conseil, d'une part, et du chirurgien traitant, d'autre part. Par ailleurs, le dossier du recourant doit être complété notamment par la production des radiographies réalisées par le Dr H.________ le 15 juin 2017 (cf. facture n°804104) et d'un protocole opératoire détaillé.</w:t>
      </w:r>
    </w:p>
    <w:p>
      <w:r>
        <w:rPr>
          <w:b/>
        </w:rPr>
        <w:t>E. 8</w:t>
      </w:r>
    </w:p>
    <w:p>
      <w:r>
        <w:t>a) Le juge cantonal qui estime que les faits ne sont pas suffisamment élucidés a en principe le choix entre deux solutions : soit</w:t>
      </w:r>
    </w:p>
    <w:p>
      <w:r>
        <w:t>- 15 -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l’intimée est lacunaire et ne permet pas de se prononcer en connaissance de cause. Il convient par conséquent de renvoyer la cause à l'intimée afin qu'elle mette en œuvre une expertise orthopédique et fasse verser au dossier les pièces mentionnées au consid. 7 in fine, dès lors que c’est à elle qu’il incombe en premier lieu d’instruire, conformément au principe inquisitoire qui régit la procédure dans le domaine des assurances sociales (art. 43 al. 1 LPGA). En ce sens, la conclusion subsidiaire du recours est bien fondée.</w:t>
      </w:r>
    </w:p>
    <w:p>
      <w:r>
        <w:rPr>
          <w:b/>
        </w:rPr>
        <w:t>E. 9</w:t>
      </w:r>
    </w:p>
    <w:p>
      <w:r>
        <w:t>Sur le vu de ce qui précède, le recours doit être partiellement admis. La décision sur opposition du 23 juillet 2018 est annulée, la cause étant renvoyée à l’intimée pour nouvelle décision. Le recours est rejeté pour le surplus. L'arrêt est rendu sans frais (art. 61 let. a LPGA). Le recourant, qui obtient gain de cause sur sa conclusion subsidiaire avec l'assistance d'un mandataire professionnel, a droit à une indemnité de dépens à charge de l’intimée qu'il convient de fixer à 1'500 fr. (art. 61 let. g LPGA).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