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ZA18.029134 vom 23. November 2018</w:t>
      </w:r>
    </w:p>
    <w:p>
      <w:r>
        <w:t>VD Tribunal cantonal, 2018-11-23, FR</w:t>
      </w:r>
    </w:p>
    <w:p>
      <w:r>
        <w:rPr>
          <w:b/>
        </w:rPr>
        <w:t xml:space="preserve">Quelle: </w:t>
      </w:r>
      <w:r>
        <w:t>https://mcp.opencaselaw.ch/entscheid/vd_gerichte_ZA18.029134</w:t>
      </w:r>
    </w:p>
    <w:p>
      <w:r>
        <w:t>FR: VD_GERICHTE ZA18.029134 du 23 novembre 2018</w:t>
      </w:r>
    </w:p>
    <w:p>
      <w:r>
        <w:t>IT: VD_GERICHTE ZA18.029134 del 23 novembre 2018</w:t>
      </w:r>
    </w:p>
    <w:p>
      <w:pPr>
        <w:pStyle w:val="Heading2"/>
      </w:pPr>
      <w:r>
        <w:t>Erwägungen</w:t>
      </w:r>
    </w:p>
    <w:p>
      <w:r>
        <w:rPr>
          <w:b/>
        </w:rPr>
        <w:t>E. 26</w:t>
      </w:r>
    </w:p>
    <w:p>
      <w:r>
        <w:t>avril 2017. En substance, il a confirmé que l’accident s’était produit dans sa salle de bain le 26 avril 2017, et non pas « en faisant des jeux de foot avec [s]es enfants ». Son état de santé ne lui permettait de toute manière plus de jouer avec ses enfants au football, ainsi que le confirmait le Dr P.________, spécialiste en neurologie, dans un rapport produit en annexe. L’intéressé indiquait en outre être en litige avec l’intimée pour la prise en charge des suites d’autres accidents antérieurs, de sorte qu’il n’était guère surpris du refus de l’intimée de prester dans la présente affaire. Par rapport du 18 janvier 2018, le Dr P.________ concluait à un syndrome des traumatisés du crâne, caractérisé par un tableau de céphalées, de vertiges et d’état anxieux chronique. Ce médecin expliquait que ce traumatisme crânien était survenu en 2009 et que s’y surajoutaient des traumatismes antérieurs significatifs en 2000 et 2007. L’intimée a répondu le 3 août 2018 et a confirmé sa position. E n d r o i t : 1. a) La LPGA (loi fédérale du 6 octobre 2000 sur la partie générale du droit des assurances sociales ; RS 830.1) est, sauf dérogation expresse, applicable en matière d’assurance-accidents (art. 1 al. 1 LAA [loi</w:t>
      </w:r>
    </w:p>
    <w:p>
      <w:r>
        <w:t>- 5 -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point de savoir si le recourant a droit à des prestations de la part de l’intimée en raison des faits annoncés dans la déclaration d’accident du 28 juillet 2017. 3. 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La notion d'accident se décompose en</w:t>
      </w:r>
    </w:p>
    <w:p>
      <w:r>
        <w:t>- 6 -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2109 consid. 4.3.1 ; 129 V 402 consid. 2.1). D’après la jurisprudence, il appartient à l’assuré de rendre plausible que les éléments d’un accident, tel qu’il est défini, sont réunis en l’occurrence. Lorsque l’instruction ne permet pas de tenir ces éléments pour établis ou du moins pour vraisemblables – la simple possibilité ne suffit pas – le juge constatera l’absence de preuves ou d’indices et, par conséquent, l’inexistence juridique d’un accident (ATF 116 V 136 consid. 4b ; TF 8C_784/2013 du 7 octobre 2014 consid. 4.2). b) Le travailleur assuré doit aviser sans retard son employeur ou l’assureur de tout accident qui nécessite un traitement médical ou provoque une incapacité de travail (art. 45 al. 1 LAA, par renvoi de l’art. 29 al. 1 LPGA). A teneur de l’art. 46 al. 2 LAA, l’assureur peut réduire de moitié toute prestation si, par suite d’un retard inexcusable dû à l’assuré ou à ses survivants, il n’a pas été avisé dans les trois mois de l’accident ou du décès de l’assuré ; il peut refuser la prestation lorsqu’une fausse déclaration d’accident lui a été remise intentionnellement. Cette disposition vise à réprimer un comportement dolosif tendant à obtenir de l’assurance plus que ce à quoi l’on aurait droit. L’assureur doit examiner une telle éventualité pour chaque prestation, en particulier en respectant l’interdiction de l’arbitraire, ainsi que les principes de l’égalité de traitement et de proportionnalité. Une condamnation pénale, en particulier pour escroquerie, n’est pas une condition nécessaire pour faire usage de l’art. 46 al. 2 LAA (TF 8C_388/2017 du 6 février 2018 consid. 2 et réf. cit.).</w:t>
      </w:r>
    </w:p>
    <w:p>
      <w:r>
        <w:t>- 7 - 4. a) En l’espèce, l’intimée a considéré notamment qu’il n’était pas prouvé à satisfaction de droit qu’un accident s’était produit le 26 avril 2017, ce que le recourant conteste. Force est toutefois de constater que les éléments au dossier ne permettent pas de suivre la position du recourant. En effet, l’annonce dudit accident n’a été faite que le 28 juillet 2017, soit après un délai de trois mois. Le recourant a tenté d’expliquer que ce délai était dû à son médecin traitant, qui aurait été informé de l’accident le 28 avril 2018 mais aurait décidé d’en attendre l’évolution (cf. questionnaires des 29 août et 18 octobre 2017 signés par l’intéressé). La Dresse X.________ n’a cependant pas confirmé ces déclarations. Par son rapport du 5 février 2018, elle a en effet indiqué n’avoir été informée de cet événement que lors d’une consultation du 13 juin 2017, alors que le recourant n’en a jamais fait mention lors de ses consultations antérieures des 28 avril 2017 et 24 mai 2017 auprès d’elle-même et du 8 juin 2017 auprès de sa consœur. Pour établir ce rapport du 5 février 2018, la Dresse X.________ a précisé s’être référée à ses notes de consultation. Contrairement à ce que soutient l’intéressé, il paraît peu probable, dans l’hypothèse de l’annonce de l’accident à l’occasion de la consultation du 28 avril 2017, que son médecin traitant ait omis de mentionner ladite annonce à son dossier médical. Cela est d’autant plus invraisemblable que la Dresse X.________ avait noté, lors de cette consultation, des douleurs à l’avant-bras droit après un effort lors de la manipulation d’un appareil Kärcher, ce qui est plutôt significatif d’une tenue méthodique et exhaustive des notes de consultation. Dans la même hypothèse, le médecin traitant aurait certainement procédé à un examen clinique – ainsi qu’elle l’a fait ensuite de l’annonce avérée à la consultation du 13 juin 2017 –, ou à tout le moins aurait proposé cet examen. Or, il ressort du rapport du 5 février 2018 que ses notes ne mentionnaient ni examen, ni proposition d’examen. La survenance d’un accident en date du 26 avril 2017 est d’autant moins rendue plausible que les radiographies de la colonne cervico-dorso-lombaire face/profil effectuées par le Dr Q.________ n’ont révélé aucune lésion traumatique (cf. rapport du 13 septembre 2017), ce</w:t>
      </w:r>
    </w:p>
    <w:p>
      <w:r>
        <w:t>- 8 - que le médecin traitant a par ailleurs confirmé dans son rapport du 4 octobre 2017. Ainsi, sans remettre en cause le diagnostic de cervico-dorso- lombalgie aiguë posé par la Dresse X.________ dans ce même rapport, il y a néanmoins lieu de relever que son origine traumatique n’est pas vraisemblable. A l’exception des seules déclarations de l’intéressé – lesquelles sont contredites par la Dresse X.________ –, aucun élément au dossier ne va dans le sens d’un accident survenu le 26 avril 2017. Partant, si l’on ne saurait exclure la possibilité qu’un tel accident ne se soit réalisé, force est en revanche de retenir que le recourant échoue à le rendre plausible, de sorte qu’il convient de constater l’inexistence juridique dudit accident (cf. consid. 3a supra). L’intimée était dès lors légitimée à rendre la décision sur opposition litigieuse pour refuser d’octroyer à l’intéressé des prestations en raison des faits annoncés dans la déclaration d’accident du 28 juillet 2017. A toutes fins utiles, l’argumentation développée par le recourant dans son recours, en particulier les références qu’il y fait à un litige avec l’intimée portant sur la prise en charge des suites d’autres accidents ou le fait que l’événement litigieux ne se serait pas produit « en faisant des jeux de foot avec [s]es enfants » – rapport médical à l’appui –, est irrelevante, celle-ci ne tendant en effet pas à rendre plausible l’existence de l’événement litigieux. b) Compte tenu de ce qui précède, la question du refus des prestations pour cause de fausse déclaration d’accident remise intentionnellement peut être laissée ouverte. 5. a) En conclusion, le recours, mal fondé, doit être rejeté et la décision attaquée confirmée.</w:t>
      </w:r>
    </w:p>
    <w:p>
      <w:r>
        <w:t>- 9 -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