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ZA18.027324 vom 3. September 2019</w:t>
      </w:r>
    </w:p>
    <w:p>
      <w:r>
        <w:t>VD Tribunal cantonal, 2019-09-03, FR</w:t>
      </w:r>
    </w:p>
    <w:p>
      <w:r>
        <w:rPr>
          <w:b/>
        </w:rPr>
        <w:t xml:space="preserve">Quelle: </w:t>
      </w:r>
      <w:r>
        <w:t>https://mcp.opencaselaw.ch/entscheid/vd_gerichte_ZA18.027324</w:t>
      </w:r>
    </w:p>
    <w:p>
      <w:r>
        <w:t>FR: VD_GERICHTE ZA18.027324 du 3 septembre 2019</w:t>
      </w:r>
    </w:p>
    <w:p>
      <w:r>
        <w:t>IT: VD_GERICHTE ZA18.027324 del 3 settembre 2019</w:t>
      </w:r>
    </w:p>
    <w:p>
      <w:pPr>
        <w:pStyle w:val="Heading2"/>
      </w:pPr>
      <w:r>
        <w:t>Erwägungen</w:t>
      </w:r>
    </w:p>
    <w:p>
      <w:r>
        <w:rPr>
          <w:b/>
        </w:rPr>
        <w:t>E. 40</w:t>
      </w:r>
    </w:p>
    <w:p>
      <w:r>
        <w:t>%, l’IPAI étant arrêtée à un montant minimum de 50'400 francs. En substance, il a fait valoir que le rapport du Dr K.________ du 20 novembre 2017 sur lequel s’était fondée la CNA présentait des lacunes et que cette autorité n’avait pas tenu compte de l’ensemble des éléments médicaux au dossier en particulier des différents rapports rendus par N.________. Il a indiqué se trouver en incapacité totale d’exercer une activité mono- manuelle droite durant toute une journée. Il a contesté les choix des cinq DPT retenues par la CNA, considérant celles-ci incompatibles avec sa situation. Il a enfin requis la mise en œuvre d’une nouvelle expertise par un médecin indépendant. Le 14 mai 2018, Me Burysek a adressé à la CNA un rapport du 16 avril 2018 du Dr D.________, spécialiste en médecine interne générale et médecin traitant de l’assuré, par lequel ce médecin a confirmé que la capacité de travail de ce dernier était restreinte. Il a indiqué que le seul traitement fonctionnant correctement était la morphine, à bonne dose, mais qu’à la dose prescrite, les capacités de travail, de déplacement et de fonctionnement étaient impossibles. Le Dr D.________ a précisé que tant en l’absence de traitement qu’avec une dose de morphine insuffisante, les douleurs étaient maximales. Le médecin a ajouté que si la capacité de travail de l’assuré dans une activité adaptée était de trois heures par jour au maximum, il ignorait ce qu’il en serait lorsqu’il aurait dépassé les 50 ans, sur un marché du travail difficile. Il a conclu que son patient présentait une incapacité de travail qu’il a estimée à 70 %. Par décision sur opposition du 23 mai 2018, la CNA a confirmé sa décision du 9 janvier 2018. Dans sa motivation, elle a notamment retenu que le rapport du 16 avril 2018 du Dr D.________ ne se prononçait pas explicitement sur les conclusions du Dr K.________ et portait sur les problèmes rencontrés par son patient dans le cadre de la gestion et du traitement de la douleur. Elle a en outre considéré que les rapports</w:t>
      </w:r>
    </w:p>
    <w:p>
      <w:r>
        <w:t>- 15 - médicaux rendus à l’occasion du séjour de l’assuré auprès de N.________ n’étaient pas pertinents dès lors qu’à l’époque où ils avaient été rédigés, la situation de l’assuré n’était pas stabilisée. Elle a enfin confirmé la pertinence des DPT sélectionnées en vue de déterminer le gain réalisable annuel moyen. B. Par acte du 25 juin 2018, H.________, représenté par Me Burysek, a recouru contre cette décision auprès de la Cour des assurances sociales du Tribunal cantonal, en concluant principalement à sa réforme dans le sens de l’octroi d’une rente d’invalidité à compter du 1er janvier 2018, dont le taux était à déterminer en cours d’instance, ainsi qu’à l’octroi d’une IPAI de 40 % – respectivement de 50'400 fr. –, et, subsidiairement, à son annulation et au renvoi de la cause à l’intimée pour nouvelle décision. Le recourant a fait valoir que l’intimée avait violé son devoir d’instruction en ne se prononçant que sur la base de l’examen du 20 novembre 2017 du Dr K.________, estimant ce document « incomplet », « contradictoire » et « lacunaire ». A cet égard, il a tout d’abord relevé que, dans son rapport du 16 avril 2018, le Dr D.________ avait déploré l’impossibilité d’une antalgie adéquate permettant l’exercice d’une activité professionnelle dès lors que la dose de morphine prescrite rendait impossible les capacités de travail, de déplacement et de fonctionnement. Cette appréciation confirmait, selon lui, les constats de N.________ qui avaient décrit les douleurs comme principale limitation des activités. Le recourant a ainsi reproché au Dr K.________ de n’avoir pas traité cette problématique, ni indiqué la prise, respectivement la dose prescrite, de morphine ainsi que les conséquences de cette médication sur son atteinte à la santé. Il a également soutenu que le rapport du Dr K.________ était en contradiction avec les constatations des Drs R.________ et V.________ et de Mme S.________ et ne motivait pas les raisons l’ayant conduit à se distancier de leurs appréciations. Il a en particulier relevé que le Dr R.________, dans son rapport du 18 mai 2018 [recte : 2017], avait constaté une augmentation des douleurs ensuite de l’intervention du 24 novembre 2015 et a contesté qu’alors que sa situation médicale s’était péjorée dès cette date, le Dr K.________ ait pu retenir les mêmes limitations fonctionnelles depuis 2014. L’appréciation du médecin d’arrondissement</w:t>
      </w:r>
    </w:p>
    <w:p>
      <w:r>
        <w:t>- 16 - selon laquelle le recourant aurait été en mesure d’utiliser sa main gauche était également contredite par le fait qu’il avait développé une hypersensibilité de cette main. Enfin, le recourant a reproché au Dr K.________ de n’avoir pas indiqué à quelle fréquence il serait en mesure d’exercer une activité professionnelle alors que tant N.________ que le Dr D.________ avaient estimé qu’il était incapable de travailler plus de 3 heures consécutives. Le recourant a également affirmé que l’intimée avait mal apprécié sa situation. Se référant aux rapports des ergothérapeutes, il a indiqué n’être pas en mesure d’exercer une activité bilatérale nécessitant de la force. Il a affirmé que dès lors que l’entier de sa main gauche, respectivement de son membre supérieur gauche, était inutilisable en raison de douleurs irradiantes, même dans la vie quotidienne, il ne lui était pas possible d’exercer les activités monomanuelles proposées par l’intimée 8 heures par jour, 5 jours par semaine. Il a précisé que les 5 DPT retenues étaient incompatibles avec sa situation, puisqu’elles nécessitaient des actions qu’il n’était pas en mesure d’effectuer de sa main droite (le port de charges, la conduite de véhicule, ou un travail de précision), qu’elles réclamaient l’usage des deux mains et qu’elles imposaient de travailler plus de 3 heures consécutives ce dont il était incapable. Il a enfin affirmé que le taux d’IPAI retenu était insuffisant et devait être de 40 % en se fondant sur la table 3, figure n° 43. Finalement, le recourant a requis, à titre de mesures d’instruction, la mise en œuvre d’une expertise judiciaire par un spécialiste en chirurgie orthopédique, un psychiatre, ainsi qu’un ergothérapeute. Dans sa réponse du 19 octobre 2018, la CNA, représentée par Me Didier Elsig, a conclu au rejet du recours. Par réplique et duplique des 12 novembre et 3 décembre 2018, les parties ont persisté dans leurs précédents motifs et conclusions. E n d r o i t : 1. a) La LPGA (loi fédérale du 6 octobre 2000 sur la partie générale du droit des assurances sociales ; RS 830.1) est, sauf dérogation</w:t>
      </w:r>
    </w:p>
    <w:p>
      <w:r>
        <w:t>- 17 -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présent litige porte sur le droit du recourant à une rente d’invalidité et sur la quotité de l’IPAI. 3.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 4.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w:t>
      </w:r>
    </w:p>
    <w:p>
      <w:r>
        <w:t>- 18 -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5.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w:t>
      </w:r>
    </w:p>
    <w:p>
      <w:r>
        <w:t>- 19 -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f)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selon deux méthodes d’évaluation. bb) Le revenu avec invalidité peut être déterminé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w:t>
      </w:r>
    </w:p>
    <w:p>
      <w:r>
        <w:t>- 20 -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cc) Le revenu avec invalidité peut également être évalué sur la base des données salariales résultant des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 SBVR, 2ème éd., Bâle/Genève/Munich 2007, n° 176).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w:t>
      </w:r>
    </w:p>
    <w:p>
      <w:r>
        <w:t>- 21 - C’est pourquoi la jurisprudence impose, en cas de recours aux DPT, la production d’au moins cinq d’entre elles (ATF 129 V 472 consid. 4.2.2 ; TF 8C_809/2008 du 19 juin 2009 consid. 4.2.2 ; TF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 au maximum sur le revenu statistique, TF 8C_800/2015 du 7 juillet 2016 consid. 3.4.2) n’est possible, contrairement à ce qui est admis dans la méthode fondée sur l’ESS (ATF 139 V 592 consid. 7.3 ; ATF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 ATF 129 V 472 consid. 4.2.3). 6.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w:t>
      </w:r>
    </w:p>
    <w:p>
      <w:r>
        <w:t>- 22 - à la loi en tant qu’elle définit le caractère durable de l’atteinte (ATF 133V 224 consid. 2.2). b)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 113 V 2018 consid. 2a). Il représente une « règle générale » (ch. 1 al. 1 de l’annexe).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8C_566/2017 du 8 mars 2018 consid. 5.1) et permettent de procéder à une appréciation plus nuancée, lorsque l’atteinte d’un organe n’est que partielle. 7.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9C_573/2010 du 8 août 2011 consid. 4.1). Il importe pour conférer pleine valeur probante à un rapport médical, que les points litigieux importants aient fait l'objet d'une étude</w:t>
      </w:r>
    </w:p>
    <w:p>
      <w:r>
        <w:t>- 23 -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w:t>
      </w:r>
    </w:p>
    <w:p>
      <w:r>
        <w:t>- 24 -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8. a) Le 22 août 2013, le recourant a été victime d’un accident lors duquel il s’est coupé l’index gauche avec une scie circulaire. Il a ensuite été victime, en avril 2017, d’un nouvel événement accidentel, lorsqu’il s’est blessé au niveau des 4ème et 5ème doigts de la main gauche en découpant de la viande. Il est constant que depuis l’accident d’août 2013, l’assuré n’est plus en mesure d’exercer son activité habituelle d’ouvrier actif dans [...]. Il n’est en outre, à juste titre, pas remis en question que l’état de santé de l’assuré est stabilisé. L’intimée considère que l’assuré est à même d’exercer une activité monomanuelle droite, en utilisant sa main gauche pour des gestes d’appoint occasionnels, sans activité de préhension fine, au taux de 100 %. Le recourant affirme quant à lui ne pas être en mesure d’exercer une telle activité et être incapable de travailler plus que 3 heures par jour. b) En l’occurrence, dans son rapport du 20 novembre 2017, le Dr K.________ a décrit les limitations fonctionnelles auxquelles est confronté le recourant pour l’exercice d’une activité professionnelle. Dans ce cadre, il a estimé qu’une activité adaptée était exigible, en retenant que l’assuré pouvait effectuer une activité mono-manuelle droite, la main gauche pouvant être utilisée pour les gestes d’appoint occasionnels sans</w:t>
      </w:r>
    </w:p>
    <w:p>
      <w:r>
        <w:t>- 25 - préhension fine. Cette appréciation n’est pas contredite par les autres médecins. En particulier, le fait que les médecins de N.________ aient fait état d’une possibilité de travail de 3 heures consécutives ne permet pas de considérer qu’il s’agit du taux d’activité raisonnablement exigible de l’assuré. A l’époque où il a séjourné à N.________, son cas n’était en effet pas encore stabilisé, à quelque six mois de l’amputation de la base du 2ème rayon et du surfaçage de la face palmo-cubitale de l’interphalangienne du pouce par un lambeau de type Foucher, intervention qui a été effectuée le 24 novembre 2015. Or, dans le cadre de son examen du 20 novembre 2017, le Dr K.________ a relevé que la mobilité des épaules, comme celle des coudes, était complète et symétrique. La mobilité du poignet, de la main et des doigts de la main droite était dans la norme. Quant à la main gauche, il a constaté une importante allodynie persistante du bord cubital du pouce gauche et de la commissure entre le pouce et le 3ème doigt de la main gauche, ainsi que du bord cubital de l’auriculaire gauche. Toutefois, le recourant n’a pas été considéré comme se trouvant dans la situation d’une personne privée de l’usage d’un bras ou d’une main. En particulier, le Dr K.________ n’a pas exclu tout usage de la main gauche, mais estimé que celle-ci pouvait être utilisée pour des gestes d’appoint occasionnels sans activité de préhension fine, n’écartant ainsi pas toute utilisation de la main gauche comme main d’aide. Les arguments du recourant dirigés contre l’appréciation du Dr K.________ ne peuvent être suivis. Ce médecin a en effet tenu compte de l’entier des documents médicaux au dossier, qu’il a résumés ; il a listé les déclarations de l’assuré, l’a examiné, et a posé des conclusions claires, qui ne sont pas contredites. En outre, il est erroné d’affirmer que la décision attaquée ne repose que sur le rapport du Dr K.________ du 23 novembre 2017. Le dossier de l’intimée a en effet fait l’objet d’une instruction complète depuis août 2013. La remarque du Dr D.________ déplorant, dans son rapport du 16 avril 2018, ne pas trouver l’antalgie adéquate est sans effet à cet égard. Il ressort en effet du rapport du 23 novembre 2017 du Dr K.________ que le traitement médicamenteux du recourant consiste en du Dafalgan et de l’Irfen, les gouttes de Tramal ne</w:t>
      </w:r>
    </w:p>
    <w:p>
      <w:r>
        <w:t>- 26 - venant qu’en réserve, deux à trois fois par semaine. Dès lors, l’avis du médecin traitant selon lequel la morphine prescrite réduirait la capacité de travail, de même que les capacités de déplacement et de fonctionnement, ne peut être suivi. Du reste, il ressort du dossier que le recourant conduit (cf. note téléphonique et procès-verbal d’entretien des 20 janvier et 16 mars 2016). Ainsi et contrairement à ce qu’allègue le recourant, le Dr K.________ a bien tenu compte dans son appréciation de la prise de Tramal en réserve, et a indiqué le dosage de ce médicament. Pour le surplus, on peine à voir la contradiction dont se prévaut le recourant entre les constatations du Dr K.________ et celles du 18 mai 2017 du DrR.________. Les douleurs dont a fait état ce dernier ne sont pas contestées. Le fait qu’elles aient augmenté depuis l’intervention du 24 novembre 2016 a conduit le Dr K.________ – comme le Dr R.________ – à poser les diagnostics d’importante allodynie persistante du bord cubital du pouce gauche et de la commissure entre le pouce et le 3ème doigt de la main gauche, ainsi que du bord cubital de l’auriculaire gauche. C’est le lieu de relever que, dans ses rapports des 8 novembre et 23 décembre 2016, le Dr R.________ a aussi relevé une absence de limitation du poignet, du coude et de l’épaule et qu’il a indiqué dans un rapport du 26 octobre 2016, que la mobilité du pouce, du majeur, de l’annulaire et de l’auriculaire étaient dans la norme, rejoignant en cela les constatations du Dr K.________. Le recourant a d’ailleurs lui-même indiqué, lors d’un entretien du 16 mars 2016, qu’il utilisait sa main gauche comme appui pour la conduite. Il ne peut ainsi être suivi lorsqu’il affirme que sa main gauche, respectivement l’entier de son membre supérieur gauche, est inutilisable. Dans ces circonstances, c’est à juste titre que la CNA a retenu que dans une activité adaptée aux limitations fonctionnelles, la capacité de travail du recourant était entière. c) Il convient d’examiner le droit à la rente du recourant. Avec la CNA, il y a lieu d’arrêter le revenu sans invalidité au montant que le recourant aurait gagné à la date de la naissance du droit à la rente, soit en 2017 (cf. rapport du 20 novembre 2017 du Dr K.________), s’il avait toujours travaillé auprès de [...]. Ce montant s’élève à 62'256 fr.</w:t>
      </w:r>
    </w:p>
    <w:p>
      <w:r>
        <w:t>- 27 - 96 (12 mois x [4'789 fr. + 399 fr. 08]) (cf. courriel du 4 février 2017 de [...]). d) Pour déterminer le revenu avec invalidité, l’intimée s’est fondée sur les DPT. Or, parmi les cinq DPT retenues, les nos 11554 (collaborateur de production, fonction : contrôleur), 4605 (collaborateur de production, fonction : adoucissage circulaire), 3488 (employé de brasserie, fonction : cariste) et 5825 (collaborateur de production, fonction : conducteur de palan) ne sont pas adaptées aux limitations fonctionnelles de l’assuré. La DPT n° 11554 (collaborateur de production, fonction : contrôleur) requiert en effet de tester des pipettes et des doseurs, en contrôlant les doses délivrées à l’aide d’une balance, activité qui implique une action répétitive du pouce sur le poussoir. Or, le recourant présente une allodynie persistante du bord cubital du pouce sur sa main dominante. La DPT n° 4605 (collaborateur de production, fonction : adoucissage circulaire) impose de tenir des brucelles. Or bien qu’il soit possible pour une personne handicapée d’une main ou d’un bras d’exercer cette activité, le bras ou la main atteinte ne doit pas être dominant. Il paraît également douteux que les DPT nos 3488 et 5285 respectent les limitations fonctionnelles retenues. Ces postes impliquent en effet des activités de motricité fine nécessitant le maniement de commandes d’élévation pour l’une (n° 3488) et d’un boitier pour donner une impulsion ou aligner une charge suspendue (n° 5825). Enfin, la DPT n° 593892 (ouvrier de scierie, fonction : empileur) est en inadéquation avec le diagnostic retenu par la Dre T.________ de phobie spécifique en lien avec des scies (cf. rapport du 13 juin 2016). En conséquence, les DPT choisies ne permettent pas de procéder au calcul du taux d’invalidité du recourant. Il convient dès lors d’examiner le taux d’invalidité du recourant sur la base de l’ESS. A cet égard, au vu du large éventail d'activités simples et répétitives (qui correspondent à un emploi léger respectant les limitations fonctionnelles observées) que recouvre le marché du travail, il y a lieu d’admettre qu'un nombre significatif des données salariales ressortant de</w:t>
      </w:r>
    </w:p>
    <w:p>
      <w:r>
        <w:t>- 28 - l’ESS, ne nécessitant aucune formation spécifique, sont adaptées aux problèmes physiques du recourant. A titre d'exemples, on peut citer des tâches simples de surveillance, de vérification ou de contrôle (TF 9C_329/2015 du 20 novembre 2015 consid. 7.3). Le salaire de référence, pour des hommes exerçant des activités simples et répétitives dans le secteur privé (production et services), s’élevait, en 2016, à 5'340 fr. mensuels, part au treizième salaire comprise (ESS 2016, TA 1, niveau de qualification 1). Compte tenu de la durée hebdomadaire de travail dans les entreprises en 2017 (41,7 heures), ce montant doit être porté à 5'566 fr. 95, auquel il convient d’appliquer l’évolution des salaires nominaux de 2016 à 2017 (+ 0.4 %), soit 5'589 fr. 21. Un taux d’abattement de 25 % tenant compte des limitations fonctionnelles importantes du recourant est adéquat. C’est du reste ce taux d’abattement qui a été retenu par l’OAI, quand bien même l’appréciation de l’assurance-invalidité ne lie pas l’assureur accidents (cf. ATF 131 V 362 consid. 2.3). Le revenu annuel avec invalidité s’élève ainsi à 50'302 fr. 96 ([5'589 fr. 21 - 25%] x 12 mois). La comparaison d’un revenu d’invalide de 50'302 fr. 96 avec un revenu sans invalidité de 62'256 fr. 96 aboutit à un degré d’invalidité de 19.2 %, arrondi à 19 %. Le recourant a par conséquent droit à une rente d’invalidité de 19 % dès le 1er janvier 2018 (cf. art. 19 al. 1 LAA). 9. Le recourant reproche encore à l’intimée d’avoir retenu un taux d’IPAI insuffisant. Il estime que celui-ci devrait s’élever à 40 % sur la base de la table 3, figure 43. Dans ce cadre, il requiert également la mise en œuvre d’une nouvelle expertise. Il ressort de la motivation développée par le Dr K.________ à l’appui de son évaluation de l’atteinte à l’intégrité que celui-ci a appliqué la table 3 d’indemnisation des atteintes à l’intégrité selon la LAA, qui prévoit une IPAI de 25 % en cas d’atteinte résultant de la perte du pouce et de l’index, aussi bien pour la main dominante qu’adominante. Le Dr</w:t>
      </w:r>
    </w:p>
    <w:p>
      <w:r>
        <w:t>- 29 - K.________ a ainsi considéré que l’importante plaie du pouce gauche et de l’index gauche, qui a été amputé, l’importante allodynie du pouce et de la commissure entre le pouce et le majeur équivalait à une main amputée du pouce et de l’index au niveau des articulations métacarpo-phalangiennes. Cette appréciation ne paraît pas critiquable puisqu’elle admet que l’entier des doigts considérés est atteint. Le degré d’indemnisation que le recourant voudrait se voir reconnaître correspond à une atteinte résultant de la perte de l’entier de sa main gauche. Il ressort cependant des rapports médicaux au dossier que seuls le pouce et l’index ont été touchés par l’accident considéré (cf. lettre de sortie du 9 décembre 2013 du Dr L.________ ; rapports des 6 mars, 18 septembre 2014 et 1er mai 2015 du Dr F.________ ; des 15 janvier 2015, 19 mai 2015, 23 mai 2016, 20 novembre 2017 du Dr K.________ ; du 19 août 2016 des Drs Z.________ et M.________ ; du 8 juillet 2016 de Mme I.________ ; du 22 juin 2016 de Mme J.________ ; du 28 juin 2016 de la Dre [...] ; des 26 octobre 2016, 8 novembre 2016, 23 décembre 2016 et du 18 mai 2017 du Dr R.________ ; du 15 octobre 2017 de Mme S.________). Plusieurs intervenants ont d’ailleurs souligné la possibilité d’utiliser la main lésée (rapport du 8 juillet 2016 de Mme I.________), et la mobilité du pouce, du majeur, de l’annulaire et de l’auriculaire gauches (cf. rapports du 26 octobre 2016 du Dr R.________ et du 20 novembre 2017 du Dr K.________). Enfin, comme relevé ci-dessus, l’assuré a admis utiliser sa main gauche comme appui dans le cadre de la conduite. Ainsi, on ne saurait considérer que le recourant se trouverait dans une situation équivalant à la perte de l’entier de sa main. La mise en place d’une nouvelle expertise serait sans effet à cet égard. Il convient donc de retenir que l’évaluation de l’IPAI par le Dr K.________ tient compte de façon proportionnée de l’importance de l’atteinte au pouce et à l’index et ne prête pas le flanc à la critique. 10. Le dossier est complet et permet à la Cour de céans de statuer en pleine connaissance de cause. Il n’y a dès lors pas lieu de compléter l’instruction comme le requiert le recourant par la mise en œuvre d’une</w:t>
      </w:r>
    </w:p>
    <w:p>
      <w:r>
        <w:t>- 30 - expertise pluridisciplinaire.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 11. a) Au vu de ce qui précède, le recours doit être partiellement admis et la décision attaquée réformée en ce sens que le recourant a droit à une rente d’invalidité de l’assurance-accidents à hauteur de 19 % dès le 1er janvier 2018. b) Il n’y a pas lieu de percevoir de frais judiciaires, la procédure étant gratuite (art. 61 let. a LPGA). c) Le recourant, qui obtient partiellement gain de cause avec l’assistance d’un mandataire qualifié, a droit à des dépens réduits, qu’il convient de fixer à 1’500 fr., débours et TVA compris (art. 61 let. g LPGA, art. 10 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