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ZA18.022383 vom 7. November 2018</w:t>
      </w:r>
    </w:p>
    <w:p>
      <w:r>
        <w:t>VD Tribunal cantonal, 2018-11-07, FR</w:t>
      </w:r>
    </w:p>
    <w:p>
      <w:r>
        <w:rPr>
          <w:b/>
        </w:rPr>
        <w:t xml:space="preserve">Quelle: </w:t>
      </w:r>
      <w:r>
        <w:t>https://mcp.opencaselaw.ch/entscheid/vd_gerichte_ZA18.022383</w:t>
      </w:r>
    </w:p>
    <w:p>
      <w:r>
        <w:t>FR: VD_GERICHTE ZA18.022383 du 7 novembre 2018</w:t>
      </w:r>
    </w:p>
    <w:p>
      <w:r>
        <w:t>IT: VD_GERICHTE ZA18.022383 del 7 novembre 2018</w:t>
      </w:r>
    </w:p>
    <w:p>
      <w:pPr>
        <w:pStyle w:val="Heading2"/>
      </w:pPr>
      <w:r>
        <w:t>Erwägungen</w:t>
      </w:r>
    </w:p>
    <w:p>
      <w:r>
        <w:rPr>
          <w:b/>
        </w:rPr>
        <w:t>E. 19</w:t>
      </w:r>
    </w:p>
    <w:p>
      <w:r>
        <w:t>août 2009 consid. 4.2). 4. a) En l’espèce, il est constant que le recourant a subi des accidents le 14 septembre 2012 et le 11 septembre 2015, qui ont entraîné des atteintes à son épaule gauche engageant la responsabilité de l’intimée. Il en est de même de la stabilisation de ladite épaule du point de vue médical et du fait que la capacité de travail de l’intéressé est désormais nulle dans son activité habituelle de ferrailleur, compte tenu de ces atteintes. Le recourant conteste cependant les conclusions des médecins de la H.________ – retenues par l’intimée pour fonder la décision</w:t>
      </w:r>
    </w:p>
    <w:p>
      <w:r>
        <w:t>- 16 - sur opposition litigieuse –, selon lesquelles il présente une capacité de travail totale dans une activité adaptée aux limitations fonctionnelles suivantes, relatives à son épaule gauche : activités prolongées et ou/répétitives au-dessus du plan des épaules, activités prolongées et/ou répétitives avec le membre supérieur gauche en porte-à-faux, ports de charges de plus de 15 kg. L’intéressé allègue que ces limitations ne sauraient être représentatives de la réalité, car il ne pourrait supporter les contraintes physiques correspondantes qu’au prix de douleurs insoutenables, ce dont les médecins de la H.________ avaient fait abstraction. Il ressort cependant du rapport du 30 juin 2017 que ces médecins ont pleinement apprécié la situation de l’intéressé. Ils ont en effet notamment considéré que la participation du recourant aux thérapies était moyenne, à l’instar du niveau de cohérence pendant l’évaluation. Au vu des résultats réalisés, ils ont relevé que l’intéressé sous-estimait ses aptitudes fonctionnelles. Celui- ci restait centré sur ses douleurs, présentait beaucoup d’autolimitations et avait une perception élevée de son handicap fonctionnel. Ces facteurs non médicaux pourraient ralentir le processus de réinsertion. Les médecins de la H.________ ont précisé en particulier que la volonté de donner le maximum avait été insuffisante pour les tests de port de charges. Compte tenu de ce qui précède, il apparaît que la non prise en compte des douleurs insoutenables alléguées par le recourant – lesquelles sont par nature subjectives – ont spécifiquement fait l’objet d’une appréciation motivée et convaincante de la part des médecins de la H.________. Aucun document au dossier ne vient jeter le doute sur ce qui précède. En particulier, l’intéressé a produit à l’appui de sa position un rapport du 5 juin 2018, dans lequel le Dr F.________ a indiqué rejoindre pour l’essentiel les limitations fonctionnelles retenues par l’intimée, ne s’en écartant que pour revoir à la baisse le poids maximum des charges que l’intéressé pouvait porter. Or, force est de constater que ce rapport est pour le moins succinct. On ne retrouve notamment aucun examen clinique – ni d’ailleurs d’anamnèse – censé sous-tendre ces conclusions. Le</w:t>
      </w:r>
    </w:p>
    <w:p>
      <w:r>
        <w:t>- 17 - Dr F.________ n’a ainsi pas justifié ce qui l’amenait à se distancier des conclusions des médecins de la H.________. Partant, le recourant n’apporte aucun élément objectif et médicalement attesté qui aurait été ignoré par les médecins de la H.________ et qui serait suffisamment pertinent pour remettre en cause leurs conclusions. Le rapport du 30 juin 2017 des Drs P.________ et A.________ doit se voir attribuer pleine valeur probante (cf. consid. 3b supra). En effet ces médecins ont pris en considération l’ensemble des constatations objectives pertinentes. Leurs conclusions sont claires et motivées et ne souffrent d’aucune contradiction. Le résultat auquel ils ont abouti est convaincant. Il y a dès lors lieu de s’y rallier et de retenir, à l’instar du Dr B.________ (cf. appréciation médicale du 10 janvier 2018) et de l’intimée, les limitations fonctionnelles qui y sont décrites. b) A toutes fins utiles, il est précisé que les atteintes du recourant à son épaule droite n’ont pas à être prises en charge par l’intimée, dans la mesure où elles ne découlent pas d’accidents engageant la responsabilité de l’assureur-accidents (cf. rapport d’examen final du 8 novembre 2017 et appréciation médicale du 10 janvier 2018 du Dr B.________). L’intéressé ne prétend d’ailleurs pas le contraire, de sorte qu’il n’est pas utile de se pencher plus avant sur ce point. 5.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w:t>
      </w:r>
    </w:p>
    <w:p>
      <w:r>
        <w:t>- 18 -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Il est admis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3e éd., Bâle 2016, n° 236 – 241).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 En l’espèce, le recourant ne discute pas du revenu annuel sans invalidité de 70'512 fr. retenu par l’intimée, lequel peut être confirmé sans de plus amples développements. Il conteste toutefois le revenu annuel d’invalide arrêté à 64'880 francs sur la base de DPT. En particulier, il fait grief à l’intimée de ne pas avoir respecté les prescriptions procédurales imposées par le</w:t>
      </w:r>
    </w:p>
    <w:p>
      <w:r>
        <w:t>- 19 - Tribunal fédéral pour appliquer les DPT. L’intéressé ne saurait être suivi. En effet, il ressort du dossier que l’intimée a listé trois cent vingt-neuf DPT. Afin de fixer le revenu d’invalide, il en a retenu cinq (n° [...], [...], [...], [...] et [...]), pour des postes de rectifieur, de fabricant d’instruments de mesure et de collaborateurs de production. La moyenne des salaires correspondait à un revenu annuel moyen de 64'880 fr., à un revenu annuel minimal de 60'510 fr. et à un revenu annuel maximal de 69'250 francs. Les cinq DPT figurant au dossier respectaient en outre les limitations fonctionnelles retenues par les médecins de la H.________. Elles vont même au-delà puisqu’aucune ne prévoyait le port de charges supérieures à 10 kg. Ces informations figuraient toutes au dossier du recourant auprès de l’intimée, dossier auquel celui-ci avait pleinement accès. Partant, les conditions posées par la jurisprudence en la matière étaient réalisées (cf. consid. 5a supra), de sorte qu’il n’y a pas lieu de s’écarter du revenu d’invalide constaté par l’intimée. Force est ainsi de constater, avec l’intimée, que le taux d’invalidité du recourant, déterminé sur la base des DPT, est bien de 7,98 % ([70'512 fr. - 64'880 fr.] / 70'512 fr. x 100). Le recourant ne peut ainsi prétendre à une rente d’invalidité (cf. art. 18 al. 1 LAA). 6. L’intéressé requiert qu’une expertise confiée au Dr F.________ soit mise en œuvre afin d’évaluer ses limitations fonctionnelles en raison de ses lésions à l’épaule gauche. Outre le fait que ce médecin traitant ne saurait être désigné expert dans une affaire concernant son patient, il convient de rejeter cette requête, dès lors que les rapports médicaux au dossier permettent de statuer en connaissance de cause et qu’une expertise ne permettrait pas, selon toute vraisemblance, de poser d’autres constatations relatives à l’état de fait pertinent (appréciation anticipée des preuves ; ATF 130 II 425 consid. 2.1 ; 122 II 464 consid. 4a ; 122 III 219 consid. 3c ; 120 Ib 224 consid. 2b). 7. a) En conclusion, le recours, mal fondé, doit être rejeté et la décision attaquée confirmée.</w:t>
      </w:r>
    </w:p>
    <w:p>
      <w:r>
        <w:t>- 20 -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