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ZA18.017665 vom 17. Januar 2022</w:t>
      </w:r>
    </w:p>
    <w:p>
      <w:r>
        <w:t>VD Tribunal cantonal, 2022-01-17, FR</w:t>
      </w:r>
    </w:p>
    <w:p>
      <w:r>
        <w:rPr>
          <w:b/>
        </w:rPr>
        <w:t xml:space="preserve">Quelle: </w:t>
      </w:r>
      <w:r>
        <w:t>https://mcp.opencaselaw.ch/entscheid/vd_gerichte_ZA18.017665</w:t>
      </w:r>
    </w:p>
    <w:p>
      <w:r>
        <w:t>FR: VD_GERICHTE ZA18.017665 du 17 janvier 2022</w:t>
      </w:r>
    </w:p>
    <w:p>
      <w:r>
        <w:t>IT: VD_GERICHTE ZA18.017665 del 17 gennaio 2022</w:t>
      </w:r>
    </w:p>
    <w:p>
      <w:pPr>
        <w:pStyle w:val="Heading2"/>
      </w:pPr>
      <w:r>
        <w:t>Erwägungen</w:t>
      </w:r>
    </w:p>
    <w:p>
      <w:r>
        <w:rPr>
          <w:b/>
        </w:rPr>
        <w:t>E. 2</w:t>
      </w:r>
    </w:p>
    <w:p>
      <w:r>
        <w:t>Le litige porte, s’agissant des suites de l’événement accidentel du 7 juin 2014, sur le droit du recourant à une rente d’invalidité de l’assurance-accidents d’une part et sur la quotité de l’indemnité pour atteinte à l’intégrité d’autre part.</w:t>
      </w:r>
    </w:p>
    <w:p>
      <w:r>
        <w:rPr>
          <w:b/>
        </w:rPr>
        <w:t>E. 3</w:t>
      </w:r>
    </w:p>
    <w:p>
      <w:r>
        <w:t>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Le recourant reproche à l’intimée une estimation incorrecte de l’indemnité pour atteinte à l’intégrité à laquelle il a droit.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Conformément à l’art. 36 al. 1 OLAA (ordonnance du 20 décembre 1982 sur l’assurance-accidents ; RS 832.202), une atteinte à l’intégrité est réputée durable lorsqu’il est prévisible qu’elle subsistera</w:t>
      </w:r>
    </w:p>
    <w:p>
      <w:r>
        <w:t>- 13 -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w:t>
      </w:r>
    </w:p>
    <w:p>
      <w:r>
        <w:t>- 14 -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b) En l’espèce, l’intimée s’est fondée sur le rapport du 3 décembre 2015 du Dr D.________ pour déterminer le taux d’indemnisation de l’atteinte à l’intégrité du recourant. Cette appréciation se fonde sur une stabilisation de l’état de santé parfaitement documentée (cf. également rapport de la Clinique H.________ du 23 juillet 2015), étant précisé que la CNA s’en est assurée en faisant procéder à un double complément d’expertise (cf. rapports des Drs L.________ et G.________ des 30 décembre 2016 et 3 novembre 2017). Cela étant, c’est à juste titre que l’intimée s’est rapportée, dans la décision dont est recours, à la table 7 d’indemnisation des atteintes à l’intégrité concernant des affections de la colonne vertébrale, pour constater, au titre des douleurs fonctionnelles liées aux fractures, que l’état de l’assuré se situe entre des douleurs modérées après mobilisation ([+] / 5-10 %) et des douleurs minimes permanentes même au repos ([++] / 10-20 %) mais en tout cas sans atteindre des douleurs permanentes intenses ([+++] / &gt; 21 %). Du reste, les plaintes formulées par le recourant au début de son séjour à la Clinique H.________ concernaient des douleurs cervicales, maximales en flexion et en extension, mais absentes au repos et d’intensité estimée entre 0 et 4/10 (rapport du 23 juillet 2015, p. 4). En retenant une indemnité pour atteinte à l’intégrité moyenne de 10 %, la manière de procéder du Dr D.________ tient compte de façon proportionnée de l’importance de l’atteinte à la colonne vertébrale. Il s’ensuit que le taux de 10 % apparaît conforme au droit, sans que le calcul du montant de l’indemnité ait été contesté ou ne prête flanc à la critique. La décision litigieuse sera donc confirmée sur ce point.</w:t>
      </w:r>
    </w:p>
    <w:p>
      <w:r>
        <w:t>- 15 -</w:t>
      </w:r>
    </w:p>
    <w:p>
      <w:r>
        <w:rPr>
          <w:b/>
        </w:rPr>
        <w:t>E. 4.2</w:t>
      </w:r>
    </w:p>
    <w:p>
      <w:r>
        <w:t>; cf. Frésard/Moser-Szeless, op. cit., n° 240 p. 980).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 cf. TF 8C_694/2019 du 16 novembre 2020 consid. 5.2). La jurisprudence exige de plus la communication du nombre total des postes de travail pouvant entrer en considération d’après le type de handicap de l’assuré, ainsi que du salaire le plus haut, du salaire le plus bas et du salaire moyen du groupe auquel il est fait référence. Il s’agit d’assurer une certaine représentativité des DPT produites et de garantir le respect du droit d’être entendu du recourant (cf. ATF 139 V 592 consid. 6.3 ; 129 V 472 consid.</w:t>
      </w:r>
    </w:p>
    <w:p>
      <w:r>
        <w:rPr>
          <w:b/>
        </w:rPr>
        <w:t>E. 4.2.2</w:t>
      </w:r>
    </w:p>
    <w:p>
      <w:r>
        <w:t>; cf. TF 8C_694/2019 précité consid. 5.2).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 cf. TF 8C_694/2019 précité consid. 5.3). ee) La particularité du cas d’espèce tient à la reconnaissance d’une maladie professionnelle d’ordre dermatologique, prise en charge séparément des suites de l’événement accidentel du 7 juin 2014, mais dont l’incidence est disputée en termes d’évaluation de la capacité de gain</w:t>
      </w:r>
    </w:p>
    <w:p>
      <w:r>
        <w:t>- 20 - et donc du degré de l’invalidité. Plutôt que d’opter pour une méthode de calcul théorique fondée sur l’ESS, comme le fit l’office AI, l’intimée a préféré la méthode des DPT, en en retenant cinq, réputées compatibles avec les limitations fonctionnelles du recourant. Elles se rapportent aux postes de travail suivants : ouvrier polyvalent (DPT n° […]), contrôleur qualité (DPT n° […]), collaborateur de production au triage des pommes de terre après laveuse (DPT n° […]), employé à l’ordonnancement (DPT n° […]) et concierge d’école (DPT n° […]). Or ces cinq DPT ont fondé la décision sur opposition litigieuse avant que ne soit reconnue au titre de maladie professionnelle la pathologie dermatologique dont souffre le recourant. Ce nonobstant, l’intimée soutient que les problèmes dermatologiques n’ont pas d’impact sur la capacité de travail en termes de limitations fonctionnelles, ni sur la capacité de gain au regard des DPT proposées, l’intéressé pouvant se traiter avec des pommades et porter le cas échéant des gants de protection. Le point de vue de l’intimée ne saurait être suivi. aaa) Si les cinq DPT n’apparaissent pas d’emblée en contradiction avec les limitations orthopédiques, elles renvoient à des activités strictement manuelles qui nécessitent d’en examiner concrètement la compatibilité avec les troubles liés à la maladie professionnelle. En effet, la dermatite de contact pour laquelle le corps médical a clairement identifié les produits chimiques allergènes est qualifiée de mixte, allergique et irritative, évoluant à bas bruit et pouvant être aggravée non seulement au contact des produits énumérés, mais aussi par la chaleur et la transpiration (cf. rapport du Dr S.________ du 9 mai 2019). Ainsi, renvoyer l’assuré au port de gants ne résiste pas à l’examen, dès lors que des gants entraînent précisément chaleur et transpiration. A cela s’ajoute que, comme le relevait le Dr P.________, le caoutchouc constitue un des facteurs allergènes. bbb) La méthode consistant à se fonder sur des DPT ayant pour vocation de se trouver au plus proche des atteintes à la santé et des limitations concrètes de l’assuré rencontre ici un écueil a priori évident</w:t>
      </w:r>
    </w:p>
    <w:p>
      <w:r>
        <w:t>- 21 - dans les activités manuelles proposées. Partant, tel que fondé sur les DPT sélectionnées, le revenu d’invalide ne saurait être confirmé. Il reviendra donc à l’intimée, soit de procéder à un choix plus précis et dûment motivé d’activités compatibles avec la maladie professionnelle, soit de renoncer à cette méthode en optant pour une approche théorique fondée sur l’ESS, laquelle pourrait en l’occurrence s’avérer plus adéquate. La cause est donc renvoyée sur ce point à la CNA pour complément d’instruction et nouvelle décision, étant précisé que l’intimée dispose de toute latitude quant au choix de la méthode d’évaluation la plus appropriée. ccc) S’agissant du revenu sans invalidité, le recourant fait grief à l’intimée d’avoir sous-évalué le gain réalisable sans l’accident. Quand bien même la CNA lui a fourni des explications à ce propos dans son courrier du 2 février 2018, force est de constater qu’elles ne répondent pas à l’ensemble des objections soulevées par le recourant. En effet, l’administration ne s’est pas prononcée sur la période temporelle retenue pour le calcul du gain de valide (2010 à 2014) alors même que le recourant l’avait expressément invitée à se déterminer au sujet des revenus des années 2010 à 2012 (cf. courrier du 15 mars 2018). Dans ces conditions, il se justifie de renvoyer, sur ce point également, la cause à l’intimée afin qu’elle précise sa démarche et procède à un nouveau calcul du revenu sans invalidité, notamment au regard de l’évaluation différente retenue par l’office AI à l’appui de sa décision du 20 novembre 2018. c) Sur le vu de ce qui précède, il s’avère que le dossier de l’intimée est insuffisamment instruit s’agissant de l’évaluation de la perte de gain, respectivement du degré d’invalidité. Les pièces au dossier ne permettent pas au tribunal de trancher ces questions en toute connaissance de cause. Il se justifie donc de renvoyer le dossier à l’intimée, à qui il appartient au premier chef d’instruire (art. 43 al. 1 LPGA), afin qu’elle procède à une nouvelle évaluation de la perte de gain subie par le recourant, autrement dit effectue un nouveau calcul des revenus avec et sans invalidité. Il incombera ensuite à l’intimée de rendre une nouvelle décision statuant sur le droit du recourant à une rente d’invalidité, étant rappelé que le renvoi n’inclut pas le réexamen de la</w:t>
      </w:r>
    </w:p>
    <w:p>
      <w:r>
        <w:t>- 22 - capacité de travail et de l’octroi d’une indemnité pour atteinte à l’intégrité (cf. considérants 4 et 5a/bb ci-dessus). 6. En définitive, le recours est partiellement admis et la décision sur opposition du 15 mars 2018 annulée en tant qu’elle porte sur la perte de gain subie par le recourant, respectivement son degré d’invalidité. A cet égard, la cause est renvoyée à l’intimée pour instruction complémentaire sous la forme d’un nouveau calcul des revenus avec et sans invalidité conformément aux considérants, suivie d’une nouvelle décision sur le droit du recourant à une rente d’invalidité. La décision entreprise est confirmée pour le surplus. 7. a) Il n’y a pas lieu de percevoir de frais judiciaires (art. 61 let. a LPGA dans sa teneur en vigueur jusqu’au 31 décembre 2020, applicable conformément à l’art. 82a LPGA). b)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r>
        <w:rPr>
          <w:b/>
        </w:rPr>
        <w:t>E. 5</w:t>
      </w:r>
    </w:p>
    <w:p>
      <w:r>
        <w:t>Reste à examiner la perte de gain et, partant, le degré d’invalidité du recourant. a)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- 16 -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 _862/2008 du 19 août 2009 consid. 4.2). bb) En l’espèce, l’intimée a considéré, sur la base du rapport du Dr D.________ du 3 décembre 2015, que l’état du recourant était stabilisé. Celui-ci ne remet pas en cause, à juste titre, la capacité de travail retenue par l’intimée, soit le renvoi à l’exercice à temps complet d’une activité adaptée aux limitations fonctionnelles qu’il présente des suites de l’accident assuré, à savoir éviter le port de charges lourdes et les travaux sollicitant fortement le rachis cervico-dorsal. Sur le plan médical, le dossier est clairement instruit, et les conclusions reprises en synthèse par le Dr D.________ convaincantes. Le recourant remet néanmoins en cause l’appréciation de sa capacité de gain. b) aa) En vertu de l’art. 18 al. 1 LAA, si l’assuré est invalide à</w:t>
      </w:r>
    </w:p>
    <w:p>
      <w:r>
        <w:rPr>
          <w:b/>
        </w:rPr>
        <w:t>E. 10</w:t>
      </w:r>
    </w:p>
    <w:p>
      <w:r>
        <w:t>%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w:t>
      </w:r>
    </w:p>
    <w:p>
      <w:r>
        <w:t>- 17 -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auquel renvoie implicitement l’art. 18 al. 2 LAA ; cf. TF 8C_125/2010 du 2 novembre 2010 consid. 2 ; cf. Jean-Maurice Frésard/Margit Moser-Szeless, L’assurance-accidents obligatoire, in : Schweizerisches Bundesverwaltungsrecht [SBVR], Soziale Sicherheit, 3e éd., Bâle 2016, n° 229 p. 977).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cf. TF 9C_195/2010 du 16 août 2010 consid. 6.2 ; cf. Frésard/Moser-Szeless, op. cit., n° 229 p. 977). Par ailleurs, pour procéder à la comparaison des revenus, il convient de se placer au moment de la naissance du droit éventuel à la rente (cf. ATF 129 V 222 ; cf. TF 9C_254/2010 du 29 octobre 2010 consid. 4.2), étant précisé qu’en l’occurrence, le moment déterminant pour procéder à cette analyse est l’année 2016, la CNA ayant informé l’assuré le 9 février 2016 qu’il n’y avait plus lieu d’attendre de la continuation du traitement médical une sensible amélioration de son état et que, corrélativement, il était mis fin au paiement de l’indemnité journalière et des frais médicaux avec effet au 31 mars 2016 (cf. art. 19 al. 1 LAA).</w:t>
      </w:r>
    </w:p>
    <w:p>
      <w:r>
        <w:t>- 18 - On soulignera encore que la notion de « marché du travail équilibré » est certes théorique et abstraite mais qu’elle est néanmoins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cc) Selon la jurisprudence, le revenu hypothétique de la personne valide se détermine, en règle générale, en établissant au degré de la vraisemblance prépondérante ce qu’elle pourrait effectivement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(cf. ATF 129 V 222 consid. 4.3.1 et la référence ; cf. TF 8C_563/2014 du 12 janvier 2015 consid. 4.1). dd) Pour fixer le revenu d’invalide, il convient de se fonder sur un revenu hypothétique lorsque l’assuré ne met pas à profit sa capacité de travail après l’accident (cf. Frésard/Moser-Szeless, op. cit., n° 234 p. 978). Dans ce cas, la jurisprudence considère que le revenu d’invalide peut être évalué sur la base des données salariales publiées par l’Office fédéral de la statistique dans l’Enquête suisse sur la structure des salaires (ESS) (cf. ATF 129 V 472 consid. 4.2.1 et 126 V 75 consid. 3b/aa avec les références citées ; cf. TF 9C_900/2009 du 27 avril 2010 consid. 3.3 ; cf. Frésard/Moser-Szeless, op. cit., n° 236 s. p. 978 s.), ou en fonction des données salariales résultant des DPT établies par la CNA (cf. ATF 139 V 592 consid. 2.3 ; 135 V 297 consid. 5.2 ; 129 V 472 consid. 4.2.1).</w:t>
      </w:r>
    </w:p>
    <w:p>
      <w:r>
        <w:t>- 19 -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(cf. ATF 129 V 472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