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ZA18.008101 vom 29. Oktober 2019</w:t>
      </w:r>
    </w:p>
    <w:p>
      <w:r>
        <w:t>VD Tribunal cantonal, 2019-10-29, FR</w:t>
      </w:r>
    </w:p>
    <w:p>
      <w:r>
        <w:rPr>
          <w:b/>
        </w:rPr>
        <w:t xml:space="preserve">Quelle: </w:t>
      </w:r>
      <w:r>
        <w:t>https://mcp.opencaselaw.ch/entscheid/vd_gerichte_ZA18.008101</w:t>
      </w:r>
    </w:p>
    <w:p>
      <w:r>
        <w:t>FR: VD_GERICHTE ZA18.008101 du 29 octobre 2019</w:t>
      </w:r>
    </w:p>
    <w:p>
      <w:r>
        <w:t>IT: VD_GERICHTE ZA18.008101 del 29 ottobre 2019</w:t>
      </w:r>
    </w:p>
    <w:p>
      <w:pPr>
        <w:pStyle w:val="Heading2"/>
      </w:pPr>
      <w:r>
        <w:t>Erwägungen</w:t>
      </w:r>
    </w:p>
    <w:p>
      <w:r>
        <w:rPr>
          <w:b/>
        </w:rPr>
        <w:t>E. 2</w:t>
      </w:r>
    </w:p>
    <w:p>
      <w:r>
        <w:t>Cst. (SVR 2001 IV n° 10 p. 28 consid. 4b ; cf. ATF 124 V 90 consid. 4b ; 122 V 157 consid. 1d et l’arrêt cité ; TF 9C_272/2011 du 6 décembre 2011). bb) Le dossier étant complet sur le plan médical, permettant ainsi à la Cour de céans de statuer en pleine connaissance de cause, il n’y a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Dans la mesure où les conclusions de la Dre C.________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w:t>
      </w:r>
    </w:p>
    <w:p>
      <w:r>
        <w:t>- 18 -</w:t>
      </w:r>
    </w:p>
    <w:p>
      <w:r>
        <w:rPr>
          <w:b/>
        </w:rPr>
        <w:t>E. 7</w:t>
      </w:r>
    </w:p>
    <w:p>
      <w:r>
        <w:t>En définitive, il apparaît que la décision sur opposition rendue par l’intimée le 23 janvier 2018 ne prête pas le flanc à la critique, en tant qu’elle refuse de prendre en charge l’affection au genou gauche (lésion méniscale) ayant nécessité une arthroscopie le 15 août 2017. Il s’ensuit que le recours, mal fondé, doit être rejeté et la décision attaquée confirmée.</w:t>
      </w:r>
    </w:p>
    <w:p>
      <w:r>
        <w:rPr>
          <w:b/>
        </w:rPr>
        <w:t>E. 8</w:t>
      </w:r>
    </w:p>
    <w:p>
      <w:r>
        <w:t>a) Lorsqu’une partie a été mise au bénéfice de l’assistance judiciaire, une équitable indemnité au conseil juridique désigné d’office pour la procédure est supportée par le canton (art. 122 al. 1 let. a CPC [code fédéral de procédure civile du 19 décembre 2008 ; RS 272], applicable par renvoi de l’art. 18 al. 5 LPA-VD). Le défenseur d’office a droit au remboursement de ses débours et à un défraiement équitable, qui est fixé en fonction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vaudois du 7 décembre 2010 sur l’assistance judiciaire en matière civile ; BLV 211.02.3]). aa) Le 7 mai 2019, Me Carré a produit le relevé des opérations effectuées du 28 septembre 2018 au 7 mai 2019 dans le cadre des procédures AA 15/16 et AA 40/18. Le total des prestations d’avocat s’élevait à 5 heures et 11 minutes. Son activité a été contrôlée au regard de la conduite du procès et rentre globalement dans le cadre de l’accomplissement du mandat confié. Par simplification, il a proposé de retenir la moitié de la durée du temps annoncé pour chacune des deux procédures, suggestion dont on ne voit pas de motif de s’écarter. Il y a ainsi lieu de retenir une durée totale de 2 heures et 36 minutes pour la présente procédure. bb) L’indemnité d’honoraires s’élève donc à 468 fr., à laquelle il y a lieu d’ajouter la TVA au taux de 7,7%, ce qui représente un montant total de 504 francs.</w:t>
      </w:r>
    </w:p>
    <w:p>
      <w:r>
        <w:t>- 19 - cc) A ce montant, il convient d’ajouter les débours fixés forfaitairement à 5% du défraiement hors taxe (art. 3bis al. 1 RAJ) avec TVA au taux de 7,7% en sus, soit 25 fr. 20. dd) L’indemnité globale pour la période du 28 septembre 2018 au 7 mai 2019 en faveur de Me Carré doit ainsi être fixée à 529 fr. 20. b) Le recourant est rendu attentif au fait qu’il est tenu de rembourser le montant pris en charge par le canton dès qu’il sera en mesure de le faire (art. 123 al. 1 CPC, applicable par renvoi de l’art. 18 al. 5 LPA-VD). Il incombe au Service juridique et législatif d’en fixer les modalités (art. 5 RAJ). c)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