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ZA18.000903 vom 30. November 2018</w:t>
      </w:r>
    </w:p>
    <w:p>
      <w:r>
        <w:t>VD Tribunal cantonal, 2018-11-30, FR</w:t>
      </w:r>
    </w:p>
    <w:p>
      <w:r>
        <w:rPr>
          <w:b/>
        </w:rPr>
        <w:t xml:space="preserve">Quelle: </w:t>
      </w:r>
      <w:r>
        <w:t>https://mcp.opencaselaw.ch/entscheid/vd_gerichte_ZA18.000903</w:t>
      </w:r>
    </w:p>
    <w:p>
      <w:r>
        <w:t>FR: VD_GERICHTE ZA18.000903 du 30 novembre 2018</w:t>
      </w:r>
    </w:p>
    <w:p>
      <w:r>
        <w:t>IT: VD_GERICHTE ZA18.000903 del 30 novembre 2018</w:t>
      </w:r>
    </w:p>
    <w:p>
      <w:pPr>
        <w:pStyle w:val="Heading2"/>
      </w:pPr>
      <w:r>
        <w:t>Erwägungen</w:t>
      </w:r>
    </w:p>
    <w:p>
      <w:r>
        <w:rPr>
          <w:b/>
        </w:rPr>
        <w:t>E. 4</w:t>
      </w:r>
    </w:p>
    <w:p>
      <w:r>
        <w:t>En l’espèce, l’intimée a retenu l’existence de séquelles supplémentaires consécutives à l’accident du 5 novembre 2013 mais a considéré en substance que les limitations fonctionnelles en résultant étaient compatibles avec l’exercice des activités qui faisaient l’objet des descriptions de postes de travail retenues lors de l’évaluation de l’invalidité réalisée à la suite du premier accident, soit celui du 21 septembre 2010. a) L’intimée s’est fondée sur les rapports médicaux du Dr L.________ du 18 mai 2015 et du Dr K.________ du 5 novembre 2014. Selon ces rapports, le recourant ne peut plus, en relation avec les séquelles de l'accident du 21 septembre 2010 de son épaule gauche, effectuer de gestes avec le membre supérieur gauche au-dessus du niveau des épaules. A la suite de l'accident du 5 novembre 2013, il ne peut plus faire de gestes avec le membre supérieur droit au-dessus du niveau des épaules. Cette seconde atteinte entraîne que le recourant ne peut plus du tout faire de gestes au-dessus du niveau de ses épaules. Il en résulte que l'atteinte globale des deux épaules a comme conséquence que le recourant ne peut plus du tout prendre des objets situés au-dessus du niveau des épaules. Cet état de fait a justifié une pondération de la deuxième IPAI à la hausse, dans la mesure où le dommage était augmenté en raison de la bilatéralité des lésions. En effet, les séquelles de l'accident du 5 novembre 2013 empêchaient le recourant d'élever son membre supérieur droit au-dessus du niveau des épaules, alors qu'un premier accident l'empêchait d'élever son épaule gauche jusqu'au niveau de l'horizontale. Il n’est ainsi pas contesté que l’accident du 5 novembre 2013 a causé une atteinte nouvelle qu’il y a lieu de prendre en compte dans l’examen du droit à la rente.</w:t>
      </w:r>
    </w:p>
    <w:p>
      <w:r>
        <w:t>- 22 - b) Il y a donc lieu de déterminer si et dans quelle mesure cette atteinte a une incidence sur la capacité de gain du recourant. Le rapport médical du Dr K.________ du 5 novembre 2014 constate objectivement que les deux ceintures scapulaires montrent une certaine amyotrophie, que ce soit de face ou de dos. La mobilité active est restreinte et atteint difficilement l’horizontale, que ce soit en élévation antérieure mais également en abduction. L’examen de la coiffe des rotateurs met en évidence une déficience globale de celle-ci. Le Dr K.________ reconnaît des limitations en ce qui concerne les travaux en hauteur, le port de charges de plus de 5 kg ainsi que les mouvements répétitifs des membres supérieurs, mais il indique que, dans le respect de ces limitations, le recourant peut faire valoir une pleine capacité de travail. L’intimée a dès lors considéré que l’épaule droite était touchée par les mêmes limitations que celles retenues auparavant au titre de l’épaule gauche, de sorte que le recourant devait être considéré comme capable de travailler à plein temps pour les mêmes postes tels que décrits dans les DPT retenues lors de la première évaluation. Le recourant conteste cette appréciation en alléguant ne pas pouvoir effectuer les travaux requis dans les DPT au vu de l’ensemble des affections présentes, tant au niveau de l’épaule gauche que de l’épaule droite notamment. Il reproche à l’intimée d’avoir fragmenté son état de santé en prenant plusieurs décisions distinctes sans apprécier la globalité de sa situation médicale. Il lui fait encore grief de s’être fondée sur un rapport médical datant de trois ans critiquable au vu des conclusions divergentes et incompréhensibles. L’intimée s’est référée au rapport du Dr K.________ précité qui fait état des atteintes tant à l’épaule gauche qu’à l’épaule droite, dans leur globalité. L’examen médical du recourant n’a ainsi pas été fragmenté. Peu importe à cet égard que l’intimée ait rendu une décision séparée sur le droit à une IPAI, tant que l’ensemble des éléments nécessaires à la détermination du droit à la rente sont pris en considération. En outre, il n’y</w:t>
      </w:r>
    </w:p>
    <w:p>
      <w:r>
        <w:t>- 23 - a pas de divergence dans les éléments pris en compte dans les décisions d’octroi de la rente et dans celle de l’allocation d’une IPAI, la différence dans le résultat provenant de ce que les critères et les calculs pour la fixation de l’une et de l’autre diffèrent. Il est lieu de relever que l’IPAI ne compense pas une perte de revenu et est due indépendamment de toute invalidité au sens de l’art. 18 LAA ; elle est une forme de réparation morale pour le préjudice immatériel (ATF 133 V 224). Avant d’examiner la conformité au droit du calcul de la rente, on relève que le recourant s’en prend au rapport médical dont il qualifie les conclusions de divergentes et incompréhensibles. Dans son recours, il ne dit toutefois pas en quoi ces conclusions seraient divergentes et incompréhensibles. Dans son opposition à la décision, le recourant contestait les conclusions du rapport dès lors que le Dr K.________ retenait d’une part que l’examen de la coiffe des rotateurs était difficilement réalisable en raison de la mobilité restreinte des ceintures scapulaires et que le déshabillage s’effectuait difficilement, et, d’autre part, que le recourant serait tout de même en mesure de travailler à plein temps. Or, le rapport médical du Dr K.________ est circonstancié. C’est sur la base d’un examen approfondi du dossier que la capacité résiduelle de travail a été évaluée par le Dr K.________. Il a procédé à un examen clinique complet et s’est fondé sur le dossier radiologique et une anamnèse. Il a pris en considération les plaintes du recourant et a décrit le contexte médical. Ses conclusions sont dénuées de contradictions, contrairement à ce que semble soutenir le recourant ; le rapport tient compte de la mobilité restreinte induite par l’atteinte aux deux épaules et considère qu’une capacité de travail à plein temps subsiste dans des activités tenant compte de ses limitations fonctionnelles. Le rapport médical satisfait aux réquisits jurisprudentiels permettant de lui reconnaître pleine valeur probante. Le recourant indique qu’il ne serait pas en mesure d’effectuer des tâches requérant une motricité fine qu’il ne posséderait plus compte tenu des limitations qu’il subit au niveau de ses deux épaules. On relève</w:t>
      </w:r>
    </w:p>
    <w:p>
      <w:r>
        <w:t>- 24 - d’emblée que l’absence de motricité fine n’avait pas été retenue comme limitation fonctionnelle lors de l’évaluation faite pour le premier accident survenu en 2010 à l’épaule gauche, sans que cela n’ait été remis en cause. Le recourant semble invoquer l’existence de cette limitation à la suite de l’accident de 2013, mais ne produit aucune pièce médicale ou découlant d’une évaluation professionnelle venant étayer son point de vue. Contrairement à ce qu’il soutient, une restriction de la mobilité de l’épaule n’implique pas une restriction dans la motricité fine et n’empêche pas de facto le maniement léger d’objets. L’argument du recourant ne repose ainsi que sur sa propre évaluation. Dans les faits, on constate que le recourant ne s’est pas plaint de sa motricité fine lors des divers entretiens avec les médecins ; dans son recours, il ne cite pas non plus des activités concrètes qu’il ne serait pas en mesure de faire, mais se repose sur le principe erroné selon lequel une restriction de l’épaule implique automatiquement une restriction de la motricité fine. D’ailleurs ce point a également été examiné par le Dr K.________; le rapport médical constate une mobilité complète des deux coudes en flexion-extension ainsi qu’en prosupination et un enroulement complet des doigts avec une mobilité conservée des poignets en flexion-extension. Il ne relève pas de problème de motricité fine. Il ne résulte pas non plus des déclarations du recourant faites au Dr K.________ de ce que sa motricité serait restreinte sur le plan manuel. Le Dr Z.________ n’avait pas non plus relevé d’éléments permettant de retenir une restriction dans la motricité des mains ou des doigts. Il n’y a donc pas lieu de retenir que le recourant souffre d’une limitation dans le maniement d’objets allant au-delà des limitations fonctionnelles retenues (avec les objets en hauteur). Les DPT choisies par l’intimée ne sont pas critiquables. Certaines DPT retenues exigent en effet du maniement d’objets de manière légère, à motricité fine. L’une d’elles nécessite rarement un maniement moyen d‘objets et parfois des rotations de la main ; ces exigences sont toutefois conformes aux limitations fonctionnelles du recourant. Les postes ne comprennent pas de travail au-dessus de la tête et nécessitent de soulever ou de porter parfois des charges très légères, inférieures à 5 kg. Ces activités sont conformes aux limitations</w:t>
      </w:r>
    </w:p>
    <w:p>
      <w:r>
        <w:t>- 25 - fonctionnelles du recourant, de sorte que les DPT prises en compte par l’intimée peuvent être retenues pour évaluer le revenu d’invalide. c) Enfin, le calcul opéré par l’intimée pour déterminer le taux de la rente d’invalidité échappe à toute critique et peut être confirmé. La décision attaquée est ainsi bien fondée.</w:t>
      </w:r>
    </w:p>
    <w:p>
      <w:r>
        <w:rPr>
          <w:b/>
        </w:rPr>
        <w:t>E. 5</w:t>
      </w:r>
    </w:p>
    <w:p>
      <w:r>
        <w:t>a) En définitive, le recours, mal fondé, doit être rejeté et la décision sur opposition attaquée confirmée. b) La procédure étant gratuite (art. 61 let. a LPGA), il n’y a pas lieu de percevoir des frais judiciaires. c) Le recourant n’obtenant pas gain de cause, il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