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ZA17.055249 vom 5. Februar 2019</w:t>
      </w:r>
    </w:p>
    <w:p>
      <w:r>
        <w:t>VD Tribunal cantonal, 2019-02-05, FR</w:t>
      </w:r>
    </w:p>
    <w:p>
      <w:r>
        <w:rPr>
          <w:b/>
        </w:rPr>
        <w:t xml:space="preserve">Quelle: </w:t>
      </w:r>
      <w:r>
        <w:t>https://mcp.opencaselaw.ch/entscheid/vd_gerichte_ZA17.055249</w:t>
      </w:r>
    </w:p>
    <w:p>
      <w:r>
        <w:t>FR: VD_GERICHTE ZA17.055249 du 5 février 2019</w:t>
      </w:r>
    </w:p>
    <w:p>
      <w:r>
        <w:t>IT: VD_GERICHTE ZA17.055249 del 5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w:t>
      </w:r>
    </w:p>
    <w:p>
      <w:r>
        <w:rPr>
          <w:b/>
        </w:rPr>
        <w:t>E. 2</w:t>
      </w:r>
    </w:p>
    <w:p>
      <w:r>
        <w:t>a) En l’espèce, le litige porte sur la question de savoir si c’est à bon droit que l’intimée a mis un terme à ses prestations à compter du 20 août 2016.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citées ; TF 8C_727/2016 du 20 octobre 2017 consid. 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et les références citées). Ainsi, lorsque l’existence d’un rapport de cause à effet entre l’accident et le dommage paraît possible, mais qu’elle ne peut pas être qualifiée de</w:t>
      </w:r>
    </w:p>
    <w:p>
      <w:r>
        <w:t>- 9 - probable dans le cas particulier, le droit à des prestations fondées sur l’accident doit être nié (ATF 129 V 177 consid. 3.1 ; TF 8C_135/2014 du 24 février 2015 consid. 3 ; FRÉSARD/MOSER-SZELESS, L’assurance-accidents obligatoire, in Schweizerisches Bundesverwaltungsrecht, Vol. XIV, Bâle 2016, 3e éd., n° 104 p. 929).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avec les références). Dans le domaine de l’assurance- accidents obligatoire, cependant, en cas d’atteinte à la santé physique, la causalité adéquate se recoupe largement avec la causalité naturelle, de sorte qu’elle ne joue pratiquement pas de rôle (ATF 118 V 286 consid. 3a ; TF 8C_726/2008 du 14 mai 2009 consid. 2.1). d) Selon l’art. 9 al. 2 let. a OLAA, les déchirures du ménisque, pour autant qu’elles ne soient pas manifestement imputables à une maladie ou à des phénomènes dégénératifs, sont assimilées à un accident même si elles ne sont pas causées par un facteur extérieur de caractère extraordinaire.</w:t>
      </w:r>
    </w:p>
    <w:p>
      <w:r>
        <w:rPr>
          <w:b/>
        </w:rPr>
        <w:t>E. 4</w:t>
      </w:r>
    </w:p>
    <w:p>
      <w:r>
        <w:t>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w:t>
      </w:r>
    </w:p>
    <w:p>
      <w:r>
        <w:t>- 10 - quelle activité peut encore être raisonnablement exigible de la part de la personne assurée (ATF 125 V 256 consid. 4 ; ATF 115 V 133 consid. 2). b) L’assureur social, et le juge des assurances sociales en cas de recours, doit examiner de manière objective tous les moyens de preuve, quelle qu’en soit la provenance, puis décider si les documents à disposition permettent de porter un jugement valable sur le droit litigieux. S’il existe des avis contradictoires, il ne peut trancher l’affaire sans apprécier l’ensemble des preuves et sans indiquer les raisons pour lesquelles il se fonde sur une opinion médicale plutôt qu’une autre, en se conformant à la règle du degré de vraisemblance prépondérante (ATF 134 V 231 consid. 5.1 ; ATF 125 V 351 consid. 3a ; TF 8C_2017 du 24 octobre 2017 consid. 3.4). D’après la jurisprudence, le juge peut accorder valeur probante aux rapports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enfin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- 11 - constatations du médecin de l’assurance (ATF 125 V 351 consid. 3b/bb et cc et les références citées ; TF 8C_796/2016 du 14 juin 2017 consid. 3.3).</w:t>
      </w:r>
    </w:p>
    <w:p>
      <w:r>
        <w:rPr>
          <w:b/>
        </w:rPr>
        <w:t>E. 5</w:t>
      </w:r>
    </w:p>
    <w:p>
      <w:r>
        <w:t>a) En l’espèce, est litigieuse l’existence d’un lien de causalité entre l’événement du 19 juillet 2016 et les lésions aux genoux de la recourante, le caractère accidentel de cet événement n’étant pas contesté. b) L’intimée s’est fondée sur les conclusions du Dr F.________ pour retenir qu’un tel lien de causalité ne pouvait plus être admis à compter du 20 août 2016, soit un mois après l’accident. Force est de constater que les conclusions du rapport d’expertise sont convaincantes et qu’il ne se trouve au dossier aucun élément de nature à les remettre en cause. En effet, si le diagnostic d’entorse bénigne du ligament latéral interne du genou droit a été posé par la Dresse W.________ suite à la consultation du 31 juillet 2016, l’instruction médicale a permis de démontrer qu’aucune lésion récente ne pouvait être mise en évidence (cf. rapport d’IRM du 2 août 2016). L’examen du 2 août 2016 a en revanche permis de relever une atteinte dégénérative au genou droit, sous la forme d’une chondropathie de grade I au niveau du compartiment interne et de grade II sur la rotule. Or, il convient de souligner que la présence d’une chondropathie antéro-interne du genou droit avait été mise en évidence en avril 2012, par le rapport d’IRM du 5 avril 2012 pratiqué suite à la résection du ménisque interne bilatérale subie par la recourante. Quant aux lésions touchant le genou gauche, elles n’ont été mentionnées que trois mois après l’accident, l’IRM pratiquée le 26 octobre 2016 ayant mis en exergue une déchirure de grade III du corps et essentiellement de la corne postérieure du ménisque interne pouvant entrer dans un contexte d’ancienne méniscectomie par arthroscopie. Or comme le relève le Dr F.________ dans son rapport d’expertise, les IRM des genoux n’ont montré aucune lésion traumatique, aucune contusion des tissus mous à la face antérieure des deux genoux ni de signe de contusion</w:t>
      </w:r>
    </w:p>
    <w:p>
      <w:r>
        <w:t>- 12 - osseuse. Elles ont uniquement révélé des lésions dégénératives anciennes avec notamment une chondropathie dans un contexte après ménisectomie interne bilatérale. Il s’ensuit que la recourante présente depuis plusieurs années avant l’accident des troubles dégénératifs de ses deux genoux suite à des résections méniscales internes, de sorte que ce n’est pas l’événement du 19 juillet 2016 qui a provoqué les déchirures du ménisque, qui étaient bien antérieures à l’accident. Il n’y a dès lors pas lieu de retenir l’existence de lésions assimilées au sens de l’art. 9 al. 2 let. c OLAA. Le Dr F.________ conclut que cet état pathologique préexistant majeur a été décompensé transitoirement lors d’une contusion bénigne des deux genoux le 19 juillet 2016, sans aucune lésion anatomique objectivable surajoutée. Concernant les autres troubles apparus à partir de l’automne 2016, l’IRM lombaire ne montre aucune lésion traumatique mais uniquement des troubles dégénératifs mineurs de la charnière lombo- sacrée, de sorte que le lien de causalité naturelle avec l’accident est clairement absent selon le Dr F.________. A cet égard, le rapport d’IRM du 19 juin 2018 produit par la recourante en cours de procédure, confirme l’existence des lésions dégénératives sans toutefois prendre position quant à leur origine. S’il est possible, comme le reconnaît l’intimée, que l’événement accidentel ait momentanément décompensé l’état préexistant, le seul fait que des symptômes douloureux ne se sont manifestés qu’après la survenance d’un accident ne suffit pas à établir un rapport de causalité naturelle avec cet événement (raisonnement « post hoc ergo propter hoc » ; ATF 119 V 335 consid. 2b/bb ; TF 8C_403/2012 du 19 juin 2012 consid. 3.3 ; TF 8C_42/2009 du 1er octobre 2009 consid. 2.2). On relèvera également, à l’instar de l’intimée, que la prise en charge médicale n’a eu lieu que le 31 juillet 2016 s’agissant du genou droit et qu’une incapacité de travail n’a été certifiée qu’à compter du 31 août 2016. Les premières plaintes quant aux troubles du genou gauche remontent quant à elles à l’automne 2016, soit trois mois après l’événement accident. Le caractère tardif de la prise en charge médicale et de l’apparition des plaintes est un indice supplémentaire plaidant en faveur de l’absence d’un lien de causalité. À cet égard, le fait que la recourante ait attendu de ne plus pouvoir marcher avant de consulter n’y</w:t>
      </w:r>
    </w:p>
    <w:p>
      <w:r>
        <w:t>- 13 - change rien. En outre, l’allégation de l’assurée selon laquelle ses médecins lui auraient conseillé d’attendre avant de consulter n’est aucunement documentée. De plus, aucun rapport médical au dossier ne permet de mettre en doute, même faiblement, les conclusions du Dr F.________. c) Il y a ainsi lieu de se rallier aux conclusions de l’intimée, faisant siennes celles du Dr F.________ et de retenir, s’agissant des genoux, que la relation de causalité entre l’événement du 19 juillet 2016 et les atteintes n’est plus hautement vraisemblable un mois après l’accident, soit dès le 20 août 2016. On relèvera finalement que les griefs de la recourante relatifs au déroulement de l’expertise elle-même ne sauraient emporter la conviction. d) Au vu de ce qui précède, il y a lieu de retenir, au degré de la vraisemblance prépondérante, que les lésions aux genoux dont souffre la recourante ne peuvent pas être rattachés à l’accident du 19 juillet 2016, respectivement que le statu quo sine a été atteint au plus tard un mois après l’accident soit le 20 août 2016. C’est ainsi à juste titre que l’intimée a cessé la prise en charge des frais à compter de cette date.</w:t>
      </w:r>
    </w:p>
    <w:p>
      <w:r>
        <w:rPr>
          <w:b/>
        </w:rPr>
        <w:t>E. 6</w:t>
      </w:r>
    </w:p>
    <w:p>
      <w:r>
        <w:t>a) Au vu de ce qui précède, le recours, mal fondé, doit être rejeté et la décision sur opposition litigieuse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