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ZA17.052979 vom 28. Mai 2019</w:t>
      </w:r>
    </w:p>
    <w:p>
      <w:r>
        <w:t>VD Tribunal cantonal, 2019-05-28, FR</w:t>
      </w:r>
    </w:p>
    <w:p>
      <w:r>
        <w:rPr>
          <w:b/>
        </w:rPr>
        <w:t xml:space="preserve">Quelle: </w:t>
      </w:r>
      <w:r>
        <w:t>https://mcp.opencaselaw.ch/entscheid/vd_gerichte_ZA17.052979</w:t>
      </w:r>
    </w:p>
    <w:p>
      <w:r>
        <w:t>FR: VD_GERICHTE ZA17.052979 du 28 mai 2019</w:t>
      </w:r>
    </w:p>
    <w:p>
      <w:r>
        <w:t>IT: VD_GERICHTE ZA17.052979 del 28 maggio 2019</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loi cantonale vaudoise du 28 octobre 2008 sur la procédure administrative (LPA-VD ; BLV 173.36) s'applique aux recours et contestations par voie d'action dans le domaine des assurances sociales (art. 2 al. 1 let. c LPA-VD) et prévoit à cet égard la compétence de la Cour des assurances sociales du Tribunal cantonal (art. 93 let. a LPA-VD). b) En l'espèce, la recourante est domiciliée dans le canton de Vaud ; son recours a été interjeté en temps utile auprès du tribunal compétent et il satisfait aux autres conditions de forme (cf. art. 61 let. b LPGA notamment) ; il est donc recevable.</w:t>
      </w:r>
    </w:p>
    <w:p>
      <w:r>
        <w:rPr>
          <w:b/>
        </w:rPr>
        <w:t>E. 2</w:t>
      </w:r>
    </w:p>
    <w:p>
      <w:r>
        <w:t>La contestation porte en l’occurrence sur la poursuite du droit de la recourante au versement des prestations de l’assurance-accidents pour la période postérieure au 1er mai 2017, singulièrement sur l'existence</w:t>
      </w:r>
    </w:p>
    <w:p>
      <w:r>
        <w:t>- 8 - d'un rapport de causalité entre l'accident assuré et les troubles persistants à l'épaule droite au-delà de cette date.</w:t>
      </w:r>
    </w:p>
    <w:p>
      <w:r>
        <w:rPr>
          <w:b/>
        </w:rPr>
        <w:t>E. 3</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(art. 4 LPGA). L'assuré a droit, notamment, au traitement médical approprié des lésions résultant de l'accident (art. 10 al. 1 LAA) et à une indemnité journalière s'il est totalement ou partiellement incapable de travailler (art. 6 LPGA)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 seul fait que des symptômes douloureux ne se sont manifestés qu’après la survenance d’un accident ne suffit pas à établir un rapport de causalité naturelle avec cet accident (raisonnement "post hoc, ergo propter hoc"; ATF 119 V 335 consid. 2b/bb).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w:t>
      </w:r>
    </w:p>
    <w:p>
      <w:r>
        <w:t>- 9 -</w:t>
      </w:r>
    </w:p>
    <w:p>
      <w:r>
        <w:rPr>
          <w:b/>
        </w:rPr>
        <w:t>E. 3.1</w:t>
      </w:r>
    </w:p>
    <w:p>
      <w:r>
        <w:t>; 402 consid. 4.3.1 ; FRÉSARD/MOSER-SZELESS, L'assurance-accidents obligatoire, in : Schweizerisches Bundesverwaltungsrecht [SBVR], Vol. XIV, 3e éd., Bâle 2016, n. 104 p. 929). En cas de rechute ou de séquelle tardive, l'assuré peut à nouveau prétendre à la prise en charge du traitement médical et, en cas d'incapacité de travail, au paiement d'indemnités journalières (art. 11 OLAA [ordonnance fédérale du 20 décembre 1982 sur l'assurance- 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118 V 293 consid. 2c).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w:t>
      </w:r>
    </w:p>
    <w:p>
      <w:r>
        <w:t>- 10 -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e)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w:t>
      </w:r>
    </w:p>
    <w:p>
      <w:r>
        <w:t>- 11 -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8C_862/2008 du 19 août 2009 consid. 4.2 et 8C_565/2008 du 27 janvier 2009 consid. 3.3.2.).</w:t>
      </w:r>
    </w:p>
    <w:p>
      <w:r>
        <w:rPr>
          <w:b/>
        </w:rPr>
        <w:t>E. 4</w:t>
      </w:r>
    </w:p>
    <w:p>
      <w:r>
        <w:t>a) Aux termes de l'art. 6 al. 2 aLAA, dans sa teneur en vigueur jusqu'au 31 décembre 2016 (applicable en l'espèce compte tenu de la date de l'accident, conformément à l'alinéa 1 des dispositions transitoires relatives à la modification du 25 septembre 2015 de la LAA), le Conseil fédéral peut inclure dans l'assurance des lésions corporelles qui sont semblables aux conséquences d'un accident. En vertu de cette délégation de compétence, le Conseil fédéral a édicté l'art. 9 al. 2 aOLAA,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w:t>
      </w:r>
    </w:p>
    <w:p>
      <w:r>
        <w:t>- 12 -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 consid. 2b ; 116 V 145 consid. 2c et 114 V 298 consid. 3c). Toujours selon cette jurisprudence, on ne pouvait admettre qu'une lésion assimilée – malgré son origine en grande partie dégénérative – avait fait place à l'état de santé dans lequel l'assuré se serait trouvé sans l'intervention d'un facteur extérieur (statu quo sine),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w:t>
      </w:r>
    </w:p>
    <w:p>
      <w:r>
        <w:rPr>
          <w:b/>
        </w:rPr>
        <w:t>E. 5</w:t>
      </w:r>
    </w:p>
    <w:p>
      <w:r>
        <w:t>a) En l'espèce, l'intimée a retenu que la rechute annoncée postérieurement au 1er mai 2017 – avec une incapacité de travail totale attestée dès le 2 mai 2017 – n’est plus en rapport de causalité avec l'accident assuré. Elle suit en cela son médecin d’arrondissement pour lequel l'accident du 14 mars 2016, qu'il qualifie de banal, n'a occasionné aucune lésion structurelle objectivable ni séquelle. Ce médecin estime que le statu quo sine est atteint courant 2016, l’accident ne déployant plus d’effets et le travail ayant été repris en plein le 1er juillet 2016.</w:t>
      </w:r>
    </w:p>
    <w:p>
      <w:r>
        <w:t>- 13 - Cette appréciation médicale est contestée par la recourante qui soutient pour sa part que les douleurs à son épaule droite depuis l’accident constituent en réalité des lésions assimilées au sens de l’art. 9 al. 2 aOLAA. Elle se prévaut des constatations du Professeur O._________ en alléguant présenter d’importantes douleurs à l’épaule droite depuis l’accident de mars 2016, évoluant vers la chronicité. Elle réfute en outre que seule l’arthrose soit à l’origine de ses maux actuels, avec la précision qu’elle n’a jamais ressenti de douleurs à son épaule avant l’accident. b) En l’occurrence, l’existence d’une lésion assimilée à un accident n’est pas avérée. En effet, aucun document d’imagerie ne fait mention de fractures, de déboîtements d'articulations, de déchirures ou d’élongations des muscles, de déchirures de tendons ou de lésions des ligaments de l’épaule droite. Le rapport d’examen de l’W.________ (pièce 15) mentionne à titre d’examens complémentaires des radiographies de l’épaule droite, sans lésion osseuse au niveau de cette épaule. L’IRM de l’épaule droite du 11 mai 2016 (pièce 67), spécifiquement prescrite en vue de la recherche d’une rupture de la coiffe des rotateurs, conclut à une tendinopathie insertionnelle du tendon supra-épineux et à des signes d’arthrose acromio-claviculaire. Plus précisément, en relation avec cette tendinopathie, il est fait mention de quelques anomalies à l’insertion du tendon du supra-épineux, à l’insertion humérale du tendon supra-épineux mais une rupture transfixiante est exclue. Cette tendinopathie, qualifiée de tendinobursite de l’épaule droite, fait l’objet d’une infiltration le 19 mai 2016 sous guidage échographique (pièce 72). Dans son rapport d’échographie d’US de l’épaule droite du 8 mai 2017, le Dr N.________ a quant à lui exposé ce qui suit : “Renseignements : Status après accident de travail le 14.03.16. Arthro IRM le 11.05.16 ayant montré une tendinopathie du sus-épineux et une arthrose acromio-claviculaire. Récidive de douleur à la face postérieure de l’épaule : nouvelle lésion ? Etat de la coiffe ? Description : Aspect normal du tendon long chef du biceps ainsi que des tendons de la coiffe des rotateurs, pas de déchirure décelée, pas de rupture. Pas d’épanchement articulaire ni d’épanchement significatif dans la bourse sous-acromio-deltoïdienne.</w:t>
      </w:r>
    </w:p>
    <w:p>
      <w:r>
        <w:t>- 14 - Pas de collection dans les parties molles de voisinage. Conclusion : Examen échographique dans les limites normales, pas de déchirure de coiffe décelée ni de bursite.” L’ensemble de ces documents d’imagerie est évocateur d’altérations de l’épaule droite d’allure dégénérative et aucun ne met en évidence une déchirure des tendons ou toute autre lésion relevant de l’énumération exhaustive de l’art. 9 al. 2 aOLAA. Par ailleurs, aucun des médecins consultés par l’assurée n’émet l’hypothèse de l’une ou l’autre des lésions listées à l’art. 9 al. 2 aOLAA. c) En présence d’une atteinte dégénérative, c’est en l’occurrence sous l’angle de l’art. 36 LAA que le cas doit être examiné. La décision litigieuse se fonde sur l’appréciation du 31 août 2017 du Dr R.________ (pièces 69, 80 et 81) qui n’est pas contredite par les documents d’imagerie, ni par les rapports des médecins traitants de l’assurée, en particulier par les Drs E.___________ et O._________. Dans son courrier du 23 mai 2017 au médecin traitant consécutif à sa consultation de l’assurée le jour précédent (pièce 55), le Dr E.___________ évoque d’éventuels microtraumatismes ayant participé à une décompensation lente de l’articulation acromio-claviculaire, laquelle dans un contexte de traumatisme, s’est décompensée. Un microtraumatisme se définit en médecine par un traumatisme très léger, sans importance lorsqu'il est unique, mais dont la répétition peut entraîner des manifestations pathologiques. Partant, il suit de sa définition qu’un microtraumatisme, même répété, ne peut pas être considéré comme un accident. En évoquant en revanche clairement une décompensation des atteintes, soit l’instabilité acromio-claviculaire et la tendinopathie, à la faveur du traumatisme, le Dr E.___________ énonce implicitement une préexistence de ces atteintes. En ce qui concerne le Professeur O._________, lorsqu’il écrit dans son rapport du 11 septembre 2017 que l’assurée présente d’importantes douleurs de l’épaule droite plutôt en région scapulaire, suite à un accident de travail et évoluant vers la chronicité depuis plus d’un an et demi, il ne fait que rapporter les propos de sa patiente. Il ne s’agit donc pas d’un constat médical stricto sensu. En revanche, à l’examen clinique,</w:t>
      </w:r>
    </w:p>
    <w:p>
      <w:r>
        <w:t>- 15 - soit à l’examen objectif comme il l’indique dans son rapport, le Dr O._________ relève de discrets signes dégénératifs au niveau acromio- claviculaire mais sans instabilité. Ainsi, ces deux médecins retiennent clairement l’existence d’une pathologie dégénérative, le Dr E.___________ évoquant quant à lui l’éventualité d’une décompensation à la faveur de l’accident. Au stade de la vraisemblance prépondérante, il doit par conséquent être admis que la recourante présentait une pathologie dégénérative asymptomatique à l’épaule droite, laquelle a été révélée voire aggravée par l’accident de mars 2016. Se pose donc, à ce stade, la question du statu quo sine vel ante (cf. consid. 3c supra). d) Le médecin-conseil de la CNA fixe l'avènement du statu quo sine dans le courant 2016 (pièce 69). Il fait état d'une absence de toute lésion structurelle directement liée à la chute du 14 mars 2016, avec une reprise du travail en plein depuis le 1er juillet 2016. En l’espèce, aucune pièce médicale ne s’inscrit à l’encontre de l’évaluation du médecin d’arrondissement quant à l’existence d’un statu quo sine courant 2016. Quant à la recourante, elle fait valoir comme argument qu'elle n'a jamais, avant l’accident assuré, eu le moindre problème à cette épaule droite. Cependant, de jurisprudence constante, le seul fait que des symptômes douloureux ne se sont manifestés qu'après la survenance d'un accident ("post hoc, ergo propter hoc") ne suffit pas à établir un rapport de causalité naturelle avec cet accident. Il n'est ainsi pas prouvé au degré de la vraisemblance prépondérante que les troubles actuels de l'épaule droite, accentués depuis le mois de mai 2017, soient dus à l'accident du 14 mars 2016. Ce dernier n’a fait que révéler momentanément un état préexistant. e) Il résulte de ce qui précède que l'accident de mars 2016 a vraisemblablement causé une aggravation temporaire d'un état dégénératif auparavant asymptomatique. La Cour de céans retiendra, conformément à l’appréciation médicale du 31 août 2017 du Dr R.________, que l'accident a toutefois totalement cessé de déployer ses</w:t>
      </w:r>
    </w:p>
    <w:p>
      <w:r>
        <w:t>- 16 - effets dans le courant de l’année 2016. En effet, en présence comme, dans le cas d'espèce, d'un état pathologique préexistant, le devoir de l'assurance-accidents d'allouer des prestations prend fin lorsque l'état de santé de l'intéressé est similaire à celui qui existait immédiatement avant l'accident (statu quo ante) ou à celui qui serait survenu tôt ou tard même sans l'accident par suite de développement ordinaire (statu quo sine). Etant rappelé que l’atteinte accidentelle à l’épaule a consisté en une simple contusion (rapport du 14 mars 2016 des médecins du W.________), il est vraisemblable que le statu quo sine était atteint déjà courant 2016 (cf. TF 8C_381/2014 du 11 juin 2015 consid. 4.3 ; TF 8C_357/2007 du 31 janvier 2008 consid. 4). L'atteinte à la santé est donc désormais imputable exclusivement à des causes étrangères à l’accident du 14 mars 2016, de sorte que c'est ainsi à bon droit que la CNA a limité son intervention aux prestations (indemnités journalières et frais de traitement) déjà versées jusqu’au 1er mai 2017. f) Sur le vu de ce qui précède, la mise en œuvre de l’expertise requise par la recourante n’apparaît pas de nature à apporter un éclairage différent des éléments retenus ci-dessus et peut dès lors être écartée par appréciation anticipée des preuves (ATF 137 III 208 consid. 2.2 et 135 II 286 consid. 5.1).</w:t>
      </w:r>
    </w:p>
    <w:p>
      <w:r>
        <w:rPr>
          <w:b/>
        </w:rPr>
        <w:t>E. 6</w:t>
      </w:r>
    </w:p>
    <w:p>
      <w:r>
        <w:t>a) Mal fondé, le recours doit en conséquence être rejeté, ce qui entraîne la confirmation de la décision attaquée. b) La procédure étant en principe gratuite (cf. art. 61 let. a LPGA), il n’y a pas lieu de percevoir de frais judiciaires, ni d’allouer de dépens à la recourante au vu de l’issue du litige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