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ZA17.052808 vom 11. Juni 2019</w:t>
      </w:r>
    </w:p>
    <w:p>
      <w:r>
        <w:t>VD Tribunal cantonal, 2019-06-11, FR</w:t>
      </w:r>
    </w:p>
    <w:p>
      <w:r>
        <w:rPr>
          <w:b/>
        </w:rPr>
        <w:t xml:space="preserve">Quelle: </w:t>
      </w:r>
      <w:r>
        <w:t>https://mcp.opencaselaw.ch/entscheid/vd_gerichte_ZA17.052808</w:t>
      </w:r>
    </w:p>
    <w:p>
      <w:r>
        <w:t>FR: VD_GERICHTE ZA17.052808 du 11 juin 2019</w:t>
      </w:r>
    </w:p>
    <w:p>
      <w:r>
        <w:t>IT: VD_GERICHTE ZA17.052808 del 11 giugno 2019</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w:t>
      </w:r>
    </w:p>
    <w:p>
      <w:r>
        <w:t>- 9 -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Interjeté en temps utile et dans le respect des formalités prévues par la loi (art. 61 let. b LPGA), le recours est recevable.</w:t>
      </w:r>
    </w:p>
    <w:p>
      <w:r>
        <w:rPr>
          <w:b/>
        </w:rPr>
        <w:t>E. 2</w:t>
      </w:r>
    </w:p>
    <w:p>
      <w:r>
        <w:t>Le litige porte sur le droit du recourant à la prise en charge des suites de l’accident du 26 avril 2016 au-delà du 31 mars 2017, singulièrement sur le lien de causalité entre cet événement et les troubles présentés après cette date.</w:t>
      </w:r>
    </w:p>
    <w:p>
      <w:r>
        <w:rPr>
          <w:b/>
        </w:rPr>
        <w:t>E. 3</w:t>
      </w:r>
    </w:p>
    <w:p>
      <w:r>
        <w:t>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w:t>
      </w:r>
    </w:p>
    <w:p>
      <w:r>
        <w:rPr>
          <w:b/>
        </w:rPr>
        <w:t>E. 4</w:t>
      </w:r>
    </w:p>
    <w:p>
      <w:r>
        <w:t>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w:t>
      </w:r>
    </w:p>
    <w:p>
      <w:r>
        <w:t>- 10 -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 129 V 402 consid. 4.3.1 ; TF 8C_21/2016 du 20 septembre 2016 consid. 3.1).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TF 8C_571/2016 du 24 mars 2017 consid. 3). Le seul fait que des symptômes douloureux ne se sont manifestés qu'après la survenance d'un accident ne suffit pas à établir un rapport de causalité naturelle avec cet accident (raisonnement « post hoc ergo propter hoc » ; ATF 119 V 335 consid. 2b/bb ; TF 8C_383/2018 du 10 décembre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129 V 402 consid. 2.2). En matière de troubles physiques, la causalité adéquate se confond pratiquement avec la causalité naturelle (ATF 138 V 248 consid. 4 et les références citées).</w:t>
      </w:r>
    </w:p>
    <w:p>
      <w:r>
        <w:t>- 11 -</w:t>
      </w:r>
    </w:p>
    <w:p>
      <w:r>
        <w:rPr>
          <w:b/>
        </w:rPr>
        <w:t>E. 5</w:t>
      </w:r>
    </w:p>
    <w:p>
      <w:r>
        <w:t>a)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w:t>
      </w:r>
    </w:p>
    <w:p>
      <w:r>
        <w:rPr>
          <w:b/>
        </w:rPr>
        <w:t>E. 6</w:t>
      </w:r>
    </w:p>
    <w:p>
      <w:r>
        <w:t>a) Le syndrome douloureux régional complexe (SDRC), également appelé algo(neuro)dystrophie, reflex sympathetic distrophy, Morbus (ou maladie de) Sudeck ou causalgie, est caractérisé par une douleur régionale, continue, spontanée ou provoquée, qui paraît</w:t>
      </w:r>
    </w:p>
    <w:p>
      <w:r>
        <w:t>- 12 - disproportionnée en intensité ou en durée par rapport à l’évolution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Harden et al., Complex regional pain syndrome : Practical diagnostic and treatment guidelines, 4e édition, in : Pain Medicine 2013, vol. 14, p. 182). Des critères de diagnostic insistant sur le caractère disproportionné des troubles par rapport à l’événement déclenchant ainsi que sur l’existence de certains symptômes (œdème, troubles vasculaires et troubles sudomoteurs) ont été adoptés en 1994 (critères dits d’ « Orlando »), puis revus et adaptés ultérieurement (cf. Harden et al., op. cit., p. 180 ss ; Spicher/Estebe/Létourneau/Packham/Rossier/ Annoni, Critères diagnostiques du syndrome douloureux régional complexe [SDRC], in : Douleur et Analgésie, 2014, vol. 27/1, p. 62 ss ; Bär/Rommel, Taxinomie, in : Jänig/Schaumann/Vogt [éd.], SDRC Syndrome douloureux régional complexe, Lucerne 2013, p. 17 ss). Ces nouveaux critères, dits de « Budapest », qui font dorénavant autorité, sont les suivants : 1)Une douleur continue disproportionnée par rapport à l’événement déclenchant 2)Le patient doit rapporter au moins un symptôme dans trois des quatre catégories suivantes : - Sensorielle : hyperesthésie et/ou allodynie - Vasomotrice : asymétrie de la température et/ou changement/asymétrie de la coloration de la peau - Sudomotrice/œdème : œdème et/ou changement/asymétrie de la sudation - Motrice/trophique : diminution de la mobilité et/ou dysfonction motrice (faiblesse, tremblements, dystonie) et/ou changements trophiques (poils, ongles, peau) 3)Au moment de l’examen clinique, le patient doit démontrer au moins un signe clinique dans deux des quatre catégories suivantes :</w:t>
      </w:r>
    </w:p>
    <w:p>
      <w:r>
        <w:t>- 13 - - Sensorielle : hyperalgésie (à la piqûre) et/ou allodynie (au toucher léger et/ou à la pression somatique profonde et/ou à la mobilisation articulaire) - Vasomotrice : asymétrie de température et/ou changement/asymétrie de coloration de la peau - Sudomotrice/œdème : œdème et/ou changement/asymétrie au niveau de la sudation - Motrice/trophique : diminution de la mobilité et/ou dysfonction motrice (faiblesse, tremblements, dystonie) et/ou changements trophiques (poils, ongles, peau) 4)Aucun autre diagnostic n’explique mieux les signes et symptômes.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Luthi/Konzelmann, Le syndrome douloureux régional complexe [algodystrophie] sous toutes ses formes, in : Revue Médicale Suisse, 29 janvier 2014, p. 271s. ; Luthi et al., Syndrome douloureux régional complexe, in : Revue Médicale Suisse, 27 février 2019, p. 495 ss). b) Le SDRC appartient aux maladies neurologiques, orthopédiques et traumatologiques et constitue ainsi une atteinte à la santé physique, respectivement corporelle (cf. TF 8C_955/2008 du 29 avril 2009 consid. 6). c) Pour admettre un lien de causalité entre un accident et un SDRC, le Tribunal fédéral considère que trois critères cumulatifs doivent être remplis (TF 8C_796/2016 du 14 juin 2017 consid. 3.2 ; 8C_871/2010 du 4 octobre 2011 consid. 3.2 ; 8C_384/2009 du 5 janvier 2010 consid. 4.2.1), à savoir :</w:t>
      </w:r>
    </w:p>
    <w:p>
      <w:r>
        <w:t>- 14 - 1)La preuve d'une lésion physique après un accident ou l'apparition d'une algodystrophie à la suite d'une opération nécessitée par l'accident ; 2)L’absence d'un autre facteur causal de nature non traumatique (par ex. état après infarctus du myocarde, après une apoplexie, etc.) ; 3)Une courte période de latence entre l'accident et l'apparition de l'algodystrophie, soit au maximum six à huit semaines (voir cependant l’arrêt CASSO AA 69/16 – 62/2019 du 9 mai 2019 consid. 6c et d, nuançant ce critère).</w:t>
      </w:r>
    </w:p>
    <w:p>
      <w:r>
        <w:rPr>
          <w:b/>
        </w:rPr>
        <w:t>E. 7</w:t>
      </w:r>
    </w:p>
    <w:p>
      <w:r>
        <w:t>En l’espèce, le recourant a été victime d’un accident le 26 avril 2016, lors duquel il a subi des lésions à l’épaule gauche. L’intimée a mis un terme à ses prestations au 31 mars 2017 au motif que les troubles qui subsistaient au-delà de cette date ne se trouvaient pas en relation de causalité avec l’accident, ce que l’intéressé conteste. L’intimée s’est fondée sur l’expertise du 21 juin 2017 du Dr Z.________. Ce spécialiste a établi son rapport en pleine connaissance de l’anamnèse, et après avoir procédé à un examen clinique de l’assuré, puis à l’analyse des prélèvements sanguins effectués le jour de l’expertise. Il a pris en considération les plaintes du recourant, lequel était assisté par un interprète durant tout le déroulement de l’examen. L’assuré a ainsi été à même de comprendre les questions qui lui ont été posées et de s’exprimer dans sa langue maternelle. Pour ce genre d’expertise, la jurisprudence exige le recours aux services d’un interprète indépendant et neutre (ATF 140 V 260 consid. 3.2.1). L’assuré ne peut donc être suivi lorsqu’il requiert la mise en œuvre d’une nouvelle expertise en critiquant cet aspect-ci de celle du Dr Z.________. Par ailleurs, cette dernière contient une description et une appréciation claires de la situation médicale, ainsi que des conclusions bien motivées. Le spécialiste explique en effet les raisons pour lesquelles il considère que les lésions à l’épaule gauche dues à l’accident sont guéries et que la capacité de travail en raison de causes liées à ce dernier est dès lors entière dans l’activité habituelle. Outre l’exposé de ses multiples observations cliniques, il a relevé de nombreuses</w:t>
      </w:r>
    </w:p>
    <w:p>
      <w:r>
        <w:t>- 15 - contradictions. En particulier, un maintien par l’assuré d’une position de blessé du membre supérieur gauche au cours de l’entretien en position assise, cette attitude disparaissant toutefois lorsqu’il était distrait, lors des pauses durant l’examen clinique, ou pendant la marche, lors de laquelle l’expert a constaté un balancement automatique et symétrique des membres supérieurs. De même, le recourant avait déclaré ne pas avoir la force suffisante à gauche pour manipuler l’enveloppe contenant les imageries, alors que l’épaule gauche ne présentait aucune hypomyotrophie. En outre, il s’était plaint de douleurs dès l’initiation de l’élévation du membre supérieur gauche, alors qu’il effectuait et maintenait spontanément une élévation antérieure de ce membre lors de l’examen en position de décubitus. L’analyse des prélèvements sanguins montrait encore une nette discordance avec la posologie des différents médicaments que l’assuré avait allégué prendre au quotidien. Par ailleurs, le Dr Z.________ a exclu de manière concluante une algoneurodystrophie, après avoir pratiqué les examens d’usage en lien avec cette atteinte et analysé les critères de Budapest, lesquels font autorité en la matière (cf. p. 11 de l’expertise). Au final, l’expert a expliqué de façon convaincante que les lésions entraînées par l’accident étaient guéries lors de son examen, et qu’elles l’étaient déjà depuis plusieurs semaines avant celui-ci, soit au début du mois d’avril 2017, notamment après que le Dr J.________ ait rendu son rapport du 30 mars 2017 ne mentionnant qu’une contusion-distorsion de l’épaule gauche. En définitive, l’expertise du Dr Z.________ remplit les critères jurisprudentiels pour se voir reconnaître une pleine valeur probante, de sorte qu’il y a lieu de se rallier à ses conclusions. Les autres pièces médicales figurant au dossier ne sont pas de nature à remettre en cause les constatations de l’expert. En particulier, les rapports des 2 et 23 mars 2017, ainsi que du 30 janvier 2018 du Dr F.________, évoquant des douleurs et une algoneurodystrophie justifiant selon lui une incapacité totale de travail, ne sont pas suffisamment étayés. En outre, une telle atteinte a été valablement écartée par le Dr Z.________. Ces rapports ne permettent pas d’établir l’existence d’éléments objectivement vérifiables qui auraient été ignorés dans le cadre de</w:t>
      </w:r>
    </w:p>
    <w:p>
      <w:r>
        <w:t>- 16 - l’expertise et qui seraient suffisamment pertinents pour remettre en cause le bien-fondé des conclusions de l’expert ou en établir le caractère incomplet. Tout au long de la procédure, le recourant a produit de nombreux documents établis par ses médecins traitants. Cependant, le fait que les Drs F.________ et J.________ y ont mentionné que les atteintes actuelles étaient liées à l’accident et que l’incapacité de travail faisait suite à ce dernier n’est pas suffisant pour admettre un rapport de causalité. En effet, les attestations et certificats médicaux transmis sont très succincts et peu, voire pas du tout étayés. Ils ne contiennent aucune description détaillée de l’état clinique et se limitent à rattacher les troubles et l’incapacité de travail actuels à l’accident, sans explication aucune. Il sied de rappeler que le seul fait que des symptômes douloureux ne se sont manifestés qu'après la survenance d'un accident ne suffit pas à établir un rapport de causalité naturelle avec cet accident (cf. consid. 4b supra). Le rapport du 23 août 2017 du physiothérapeute de l’assuré, faisant état de douleurs, n’apporte pas non plus d’élément nouveau et ne modifie en rien ce qui précède. En conclusion, l’intimée était fondée à mettre un terme à ses prestations au 31 mars 2017, sur la base de l’expertise du Dr Z.________.</w:t>
      </w:r>
    </w:p>
    <w:p>
      <w:r>
        <w:rPr>
          <w:b/>
        </w:rPr>
        <w:t>E. 8</w:t>
      </w:r>
    </w:p>
    <w:p>
      <w:r>
        <w:t>Il n'y a pas lieu de compléter l'instruction comme le requiert le recourant par la mise en œuvre d’une expertise et l’audition des Drs J.________ et F.________. En effet, de telles mesures d’instruction ne modifieraient pas, selon toute vraisemblance, l’appréciation qui précède (appréciation anticipée des preuves ; cf. ATF 134 I 140 consid. 5.3 ; 131 I 153 ; TF 9C_303/2015 du 11 décembre 2015 consid. 3.2).</w:t>
      </w:r>
    </w:p>
    <w:p>
      <w:r>
        <w:rPr>
          <w:b/>
        </w:rPr>
        <w:t>E. 9</w:t>
      </w:r>
    </w:p>
    <w:p>
      <w:r>
        <w:t>a) En définitive, le recours, mal fondé, doit être rejeté et la décision sur opposition attaquée confirmée. b) La procédure étant gratuite (art. 61 let. a LPGA), il n'est pas perçu de frais judiciaires.</w:t>
      </w:r>
    </w:p>
    <w:p>
      <w:r>
        <w:t>- 17 - Le recourant, qui n’obtient pas gain de cause,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