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ZA17.046588 vom 19. September 2018</w:t>
      </w:r>
    </w:p>
    <w:p>
      <w:r>
        <w:t>VD Tribunal cantonal, 2018-09-19, FR</w:t>
      </w:r>
    </w:p>
    <w:p>
      <w:r>
        <w:rPr>
          <w:b/>
        </w:rPr>
        <w:t xml:space="preserve">Quelle: </w:t>
      </w:r>
      <w:r>
        <w:t>https://mcp.opencaselaw.ch/entscheid/vd_gerichte_ZA17.046588</w:t>
      </w:r>
    </w:p>
    <w:p>
      <w:r>
        <w:t>FR: VD_GERICHTE ZA17.046588 du 19 septembre 2018</w:t>
      </w:r>
    </w:p>
    <w:p>
      <w:r>
        <w:t>IT: VD_GERICHTE ZA17.046588 del 19 settembre 2018</w:t>
      </w:r>
    </w:p>
    <w:p>
      <w:pPr>
        <w:pStyle w:val="Heading2"/>
      </w:pPr>
      <w:r>
        <w:t>Erwägungen</w:t>
      </w:r>
    </w:p>
    <w:p>
      <w:r>
        <w:rPr>
          <w:b/>
        </w:rPr>
        <w:t>E. 50</w:t>
      </w:r>
    </w:p>
    <w:p>
      <w:r>
        <w:t>par mois. Comparé au revenu sans invalidité de 4'927 fr., il en découlait une perte de gain de 28.5%, ouvrant le droit à une rente d'invalidité. Dans sa réponse du 16 janvier 2018, l'intimée a conclu au rejet du recours, la conclusion relative à l’IPAI étant quant à elle irrecevable. A l'appui de sa réponse, elle a produit une appréciation médicale du 12 janvier 2018 établie par la Dresse Q.________, médecin d'arrondissement. Selon elle, les deux rapports médicaux produits par P.________ dans le cadre de son recours ne modifiaient pas les conclusions de l'examen médical final du Dr G.________ du 13 février 2017. En particulier, la diminution de rendement de l'ordre de 30-40% retenue par le Dr S.________ sur les seules déclarations de l'assuré ne pouvait pas être suivie, ce d'autant qu'aucun élément médical objectif ne permettait de soutenir cette évaluation (pas d'aggravation de l'état de santé, amélioration lente et progressive constatée par le service d'antalgie). Au plan psychique, la Dresse Q.________ a rappelé que le recourant avait bénéficié d'évaluations psychiatriques à la CRR, qui n'avaient mis en évidence aucune maladie psychiatrique. De plus, la kinésiophobie n'était pas une maladie psychiatrique. Par réplique du 13 avril 2018, le recourant a sollicité la mise en œuvre d’une expertise pluridisciplinaire, laquelle devait comporter un volet psychiatrique. Le 23 mai 2018, le recourant a produit un rapport du 7 mai 2018 des Drs X.________ et L.________, qui se prononcent sur l'évolution de l'état de santé du recourant depuis août 2017, date de leur dernier rapport. Selon eux, la situation s'était légèrement améliorée mais une reprise de son ancien emploi de maçon n'était absolument pas envisageable. Le 6 juin 2018, la CNA a maintenu sa position. E n d r o i t :</w:t>
      </w:r>
    </w:p>
    <w:p>
      <w:r>
        <w:t>- 8 - 1.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conditions de forme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- 9 - des liens étroits avec la question litigieuse (ATF 134 V 418 consid. 5.2.1, 131 V 164 consid. 2.1 et 125 V 413 consid. 2c). b) Dans le cas particulier, le litige porte sur le droit du recourant à une rente d'invalidité. Singulièrement, il s’agit de se prononcer sur sa capacité de travail dans une activité adaptée à ses limitations fonctionnelles. Le recourant conclut à une indemnité pour atteinte à l’intégrité. Cette conclusion est irrecevable, l'assuré, bien que dûment assisté d’un avocat, n'ayant pas attaqué dans son opposition le refus de la CNA de lui accorder une telle indemnité. Sur ce point, la décision est donc entrée en force et cette question n’a plus à être examinée. c) Il sera noté que les modifications introduites par la novelle du 25 septembre 2015, entrée en vigueur le 1er janvier 2017 et modifiant diverses dispositions de la LAA, ne sont pas applicables au cas d'espèce, vu la date de l’événement litigieux (cf. ch. 1 des dispositions transitoires relatives à cette modification [RO 2016 4388]). 3. Dans la mesure où le recourant invoque un vice de procédure, singulièrement une violation du droit d'être entendu, la Cour de céans examinera en priorité ce grief. En effet, de nature formelle, le droit d'être entendu est une règle primordiale de procédure dont la violation entraîne en principe l'annulation de la décision attaquée indépendamment des chances de succès du recours sur le fond (ATF 143 IV 380 consid. 1.4.1). a) La jurisprudence a déduit du droit d'être entendu (cf. art. 29 al. 2 Cst. [Constitution fédérale de la Confédération suisse du 18 avril 1999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et 141 V 557 consid. 3.1 avec les références citées).</w:t>
      </w:r>
    </w:p>
    <w:p>
      <w:r>
        <w:t>- 10 - Selon la jurisprudence, la violation du droit d'être entendu peut être réparée lorsque la partie lésée a la possibilité de s'exprimer devant une autorité de recours jouissant d'un plein pouvoir d'examen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et les références citées). b) En l'espèce, le recourant reproche à l'intimée de s’être fondée sur la seule appréciation du Dr G.________ du 13 février 2017, sans se prononcer sur sa capacité de travail résiduelle, ni sur une éventuelle baisse de rendement. L'intimée ne lui a par ailleurs pas transmis le rapport de ce même médecin daté 25 septembre 2017, dont il n'a eu connaissance qu'une fois la décision litigieuse rendue. Tel que formulé, le grief développé par le recourant relève très majoritairement de l'appréciation des preuves plutôt que de la violation du droit d'être entendu et doit être examiné de ce point de vue. Quant au fait qu’il n’a pas eu connaissance du rapport du Dr G.________ du 25 septembre 2017, il y a lieu de constater que ce médecin se limite à confirmer intégralement la teneur de son rapport du 13 février 2017 - dont le recourant a eu connaissance. Le recourant a pour le surplus eu l’occasion de s’exprimer largement devant l’autorité de céans, qui dispose d’un plein pouvoir d’examen, à l’occasion d’un double échange d’écritures. Ainsi même à admettre une violation du droit d’être entendu, celle-ci serait de peu d’importance et devrait être considérée comme réparée. 4. a) Aux termes de l'art. 6 al. 1 LAA, si la loi n'en dispose pas autrement, les prestations d'assurance sont allouées en cas d'accident</w:t>
      </w:r>
    </w:p>
    <w:p>
      <w:r>
        <w:t>- 11 -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TF 8C_433/2008 du 11 mars 2009 consid. 3.1). Lorsque l'existence d'un rapport de cause à effet entre l'accident et le dommage paraît possible, mais qu'elle ne peut être</w:t>
      </w:r>
    </w:p>
    <w:p>
      <w:r>
        <w:t>- 12 -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elle doit être appréciée sous l’angle juridique et tranchée par l’administration ou le juge, et non par des experts médicaux (ATF 107 V 173 consid. 4b; TF U 493/06 du 5 novembre 2007 consid. 3.1). En matière de troubles physiques, la causalité adéquate se confond pratiquement avec la causalité naturelle (ATF 118 V 286 consid. 3a; 117 V 359 consid. 6a; TF 8C_718/2010 du 20 octobre 2010 consid. 3.1 in fine; 8C_726/2008 du 14 mai 2009 consid. 2.1 in fine et les références). c) Il en va différemment en matière de troubles psychiques. La jurisprudence a dégagé des critères objectifs qui permettent de juger du</w:t>
      </w:r>
    </w:p>
    <w:p>
      <w:r>
        <w:t>- 13 -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115 V 403 consid. 5c/aa; TF 8C_175/2010 du 14 février 2011 consid. 4.2; voir également : Jean-Maurice Frésard/Margit Moser-Szeless, L’assurance- accidents obligatoire, in : SVBR 2ème éd. 2007, n° 89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8C_77/2009 du 4 juin 2009 consid. 4.1.1 et les références citées; 8C_175/2010 du 14 février 2011 consid. 4.2).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TF 8C_1007/2012 du 11 décembre 2013 consid. 3 et 8C_312/2007 du 5 juin 2008 consid. 3.2) :</w:t>
      </w:r>
    </w:p>
    <w:p>
      <w:r>
        <w:t>- 14 -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TF 8C_1007/2012 du 11 décembre 2013 consid. 3).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115 V 403 consid. 5c/aa et bb; TF U 308/06 du 26 juillet 2007 consid. 4).</w:t>
      </w:r>
    </w:p>
    <w:p>
      <w:r>
        <w:t>- 15 - 5. a) Si l’assuré est invalide à 10 % au moins par suite d’un accident, il a droit à une rente d’invalidité (art. 18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8C_735/2010 du 10 août 2011 consid. 2.2) – et que les éventuelles mesures de réadaptation de l’assurance-invalidité ont été menées à terme. Le droit au traitement médical et aux indemnités journalières cesse dès la naissance du droit à la rente.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w:t>
      </w:r>
    </w:p>
    <w:p>
      <w:r>
        <w:t>- 16 - permettant de calculer le taux d’invalidité (méthode générale de comparaison des revenus ; ATF 130 V 343 consid. 3.4, 128 V 29 consid. 1 ;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DPT établies par la CNA (ATF 135 V 297 consid. 5.2,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 Szeless, L’assurance-accidents obligatoire, in : SBVR, 2e éd., Bâle/Genève/Munich 2007,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w:t>
      </w:r>
    </w:p>
    <w:p>
      <w:r>
        <w:t>- 17 -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au maximum sur le revenu statistique, TF 8C_800/2015 du 7 juillet 2016 consid. 3.4.2) n’est possible, contrairement à ce qui est admis dans la méthode fondée sur l’ESS (ATF 139 V 592 consid. 7.3,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ATF 129 V 472 consid. 4.2.3). 6. L’assuré qui, par suite de l’accident, souffre d’une atteinte importante et durable à son intégrité physique, mentale ou psychique, a droit à une indemnité équitable pour atteinte à l’intégrité (art. 24 al. 1 LAA). L’indemnité est fixée en même temps que la rente d’invalidité ou, si l’assuré ne peut prétendre une rente, lorsque le traitement médical est terminé (art. 24 al. 2 LAA). 7.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9C_104/2014 du 30 mai 2014 consid. 4.1) En ce qui concerne les rapports des médecins des assureurs, ceux-ci peuvent se voir reconnaître valeur probante aussi longtemps qu’ils</w:t>
      </w:r>
    </w:p>
    <w:p>
      <w:r>
        <w:t>- 18 - aboutissent à des résultats convaincants, que leurs conclusions sont bien motivées, que ces avis ne contiennent pas de contradiction et qu’aucun indice concret ne permette de remettre en cause leur bien-fondé (ATF 125 V 351 consid. 3b/ee et réf. cit. ; TF 8C _862/2008 du 19 août 2009 consid. 4.2 ;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8. a) En l’espèce, la CNA a admis la prise en charge des suites de l’événement accidentel du 3 juillet 2014 jusqu’au 31 mars 2017 par le paiement des indemnités journalières, respectivement jusqu’au 31 août 2017 pour les contrôles médicaux et les médicaments. Il est constant que l’activité habituelle de maçon de l’assuré n’est plus adaptée, ce qu’admettent tous les médecins, ainsi que l’intimée. Se pose dès lors la question de sa capacité de travail dans une activité adaptée. Le recourant ne conteste en effet pas disposer d’une telle capacité de travail, mais soutient qu’il présente une baisse de rendement d'au moins 30%. Le recourant a présenté dans les suites de l’accident du 3 juillet 2014 un syndrome douloureux régional complexe. Il a subi plusieurs opérations, dont une à la suite de l’infection de sa plaie. Celle-ci a toutefois été cicatrisée au début de l’année 2015, permettant son deuxième séjour à la CRR. A la suite de son troisième séjour à la CRR du 13 juillet au 10 août 2016, les médecins ont constaté que son état serait stabilisé à deux mois, ce qu’a confirmé le Dr G.________ lors de son évaluation médicale de février 2017.</w:t>
      </w:r>
    </w:p>
    <w:p>
      <w:r>
        <w:t>- 19 - b) Le recourant fait grief à l’intimée de ne s’être fondée que sur l’appréciation du Dr G.________ du 13 février 2017, sans procéder à des examens complémentaires, alors que ce rapport entre selon lui en contradiction avec les observations du Dr S.________ des 3 octobre 2016, 1er décembre 2016, 22 mai 2017 et 27 février 2017, selon lesquelles il a présenté une incapacité de travail totale entre le 1er octobre 2016 et le 30 septembre 2017. Il reproche à cet égard à l’intimée de ne pas avoir mis en œuvre de nouvelles mesures d’instruction malgré ces contradictions. Or on voit mal à quelles contradictions le recourant fait référence, sinon au fait que le Dr G.________ a estimé que sa capacité de travail était entière à compter de février 2017, alors que le Dr S.________ a estimé qu’elle l’était dès le mois d'octobre 2017 (cf. rapport du 24 octobre 2017). Les « rapports » dont se prévaut le recourant sont au demeurant des certificats d’incapacité de travail non motivés. Pour le surplus, il n’y a pas dans le rapport du 7 mai 2018 des Drs X.________ et L.________ d’éléments plaidant en faveur d’une péjoration de la situation depuis le rapport d’examen final du Dr G.________ du 13 février 2017. Ces médecins posent le diagnostic de syndrome douloureux régional complexe du membre inférieur gauche post-traumatique. Or ce diagnostic n’est pas nouveau, dans la mesure où les Drs X.________ et L.________ le posaient déjà dans leur rapport du 15 août 2017 au Dr S.________, que le Dr G.________ le retient dans son rapport du 13 février 2017, et qu’il est évoqué depuis le mois d'avril 2015 (cf. rapport du 29 mai 2015 des Drs W.________ et D.________, rapport du 22 février 2016 du Dr S.________). Cela étant, dans leur rapport du 15 août 2017, les médecins du CHUV mettent surtout en avant la problématique sociale, dans la mesure où le recourant n’a plus les moyens de financer ses médicaments et n’a toujours pas de permis de travail. Ils relèvent que la situation clinique, quant à elle, s’améliore, une reprise dans l’ancienne activité n’étant cependant probablement pas envisageable, point qui n’est pas contesté pas l’intimée. Il est par ailleurs établi que la fracture est consolidée ; les médecins de la CRR l’évoquaient du reste dans leur rapport du 9 septembre 2016. Le Dr G.________ l’a confirmé, sans être contredit, à la</w:t>
      </w:r>
    </w:p>
    <w:p>
      <w:r>
        <w:t>- 20 - suite de son examen du 13 février 2017. Ce dernier a par ailleurs procédé à une appréciation globale de la situation, en tenant compte des pièces au dossier, et en rapportant notamment les plaintes de l’assuré. Il est ainsi parvenu à la conclusion que ce dernier était en mesure d’exercer une activité dans une activité adaptée (activité sédentaire ou semi-sédentaire en évitant la position debout statique prolongée, les travaux accroupis ou à genoux, la marche en terrain irrégulier et le port de charge de plus de 15kg, de courts déplacement à plats étant possible). Certes le Dr S.________ a estimé que la capacité de travail était entière dans une activité adaptée, avec toutefois une baisse de rendement de 30 à 40%. Cependant, comme l’a relevé la Dresse Q.________ dans son appréciation médicale du 12 janvier 2018, la diminution de rendement retenue par le Dr S.________ est fondée sur les seuls dires de l'assuré, lequel avait rapporté à son médecin traitant des douleurs intolérables à la cheville lorsqu'il maintenait une position assise pendant plus de 20 minutes (rapport du 24 octobre 2017). Le Dr S.________ n'évoque toutefois aucune donnée médicale objective à l'appui de ses observations, ni ne fait état d'une aggravation de l'état de santé du recourant. Les plaintes exprimées par le recourant contrastent par ailleurs avec celles rapportées aux Drs X.________ et L.________ lors de la consultation du 15 août 2017. Dans leur rapport daté du même jour, ces médecins retenaient des plaintes très faibles en position assise (douleurs à 2-3/10) ainsi qu'une lente amélioration. Pour la Dresse Q.________, le contexte actuel de la procédure de recours ainsi que les facteurs extra-médicaux évoqués tant par les DrsX.________ et L.________ que par les médecins de la CRR pouvaient expliquer une accentuation des plaintes de l'assuré lors de la consultation du 23 octobre 2017 auprès du Dr S.________. Partant, c’est à juste titre que la CNA n’a pas retenu la baisse de rendement alléguée. 9. Dans un autre moyen, le recourant soutient qu'il souffre de troubles psychiques, lesquels seraient en lien avec l’accident, se référant à l’avis des Drs X.________ et L.________ du 15 août 2017, dont il ressort qu’il présente une kinésiophobie ainsi qu’une crainte que la plaie ne se rouvre, estimant là encore que l’instruction menée par l’intimée a été insuffisante.</w:t>
      </w:r>
    </w:p>
    <w:p>
      <w:r>
        <w:t>- 21 - Or l'évaluation psychiatrique réalisée lors du troisième séjour du recourant à la CRR n'a mis en évidence aucun diagnostic psychopathologique. D'ailleurs, aucun suivi psychologique n’a été prévu à la suite de ce séjour. On soulignera également que la kinésiophobie n'est pas une maladie psychiatrique (cf. rapport de la Dresse Q.________ du 12 janvier 2018), pas plus que le fait d'avoir « peur qu'une plaie se rouvre ». En pareilles circonstances, l'intimée n’avait à juste titre pas à instruire plus avant la problématique psychiatrique. En tout état de cause, même à admettre que l’assuré présente une maladie psychiatrique, les critères retenus par la jurisprudence (cf. consid. 4 supra) pour établir un lien de causalité adéquate entre l’accident de 2014, lequel pourrait être qualifié tout au plus de gravité moyenne (s’agissant d’un saut mal réceptionné, depuis un chariot à moteur en marche), et les troubles psychiques allégués feraient défaut. Il est en effet rappelé que le seul événement traumatique ensuite de l’accident en question est la fracture du tibia et du péroné gauches. Une telle lésion physique ne relève manifestement pas d’une gravité suffisante, ni d’une nature particulière, propres, selon l’expérience, à entraîner des troubles psychiques. Par ailleurs, les limitations fonctionnelles découlant des atteintes subies par le recourant à sa jambe gauche ne l’empêchent pas d’exercer une activité adaptée, de sorte que le critère de degré et de durée de l’incapacité de travail due aux lésions physiques n’est pas réalisé. Dans le prolongement du critère précédent, on peut relever qu’aucune erreur de traitement n’est à déplorer ni que le recourant a dû se soumettre à l’administration prolongée d’un traitement médical spécifique et pénible. Il a certes présenté une complication au cours de la guérison de ses fractures, sous la forme d’une infection à Enterobacter Cloacae, mais elle a toutefois pu être soignée sans difficulté particulière, par le retrait du matériel d’ostéosynthèse. En présence d’un diagnostic de syndrome douloureux régional complexe du membre inférieur gauche, on peut par contre considérer que le critère de douleurs physiques persistantes est en l’espèce réalisé. Il convient néanmoins de relativiser l’importance des douleurs dans la</w:t>
      </w:r>
    </w:p>
    <w:p>
      <w:r>
        <w:t>- 22 - mesure où les affections somatiques de l’intéressé restent précisément compatibles avec l’exercice d’une activité lucrative adaptée à plein temps. Partant, au regard de l’ensemble des circonstances, seul un critère (la persistance des douleurs physiques) apparaît pouvoir être réalisé, de sorte que l’on ne saurait admettre, même à retenir un diagnostic d’ordre psychique, que l’accident du 3 juillet 2014 en serait la cause adéquate. 10. Le recourant ne conteste pas les revenus avec et sans invalidité retenus par l’intimée, sinon pour appliquer au revenu d'invalide une réduction de 30% - laquelle, on l’a vu, n’a pas lieu d’être retenue (consid. 8b supra). Il apparait néanmoins que les montants retenus dans le cadre de la décision sur opposition au titre de revenu d'invalide (4'927 fr.) et de revenu sans invalidité (5'015 fr.) sont inversés par rapport à ceux figurant dans la décision du 18 juillet 2017. La comparaison entre ces deux revenus laissait alors apparaître une perte de gain de 1.75%. A l'examen des pièces au dossier, c'est cependant bien les montants résultant de la décision du 18 juillet 2017 qui sont corrects, à savoir un revenu d'invalide de 5'015 fr. (revenu annuel de 60'189 fr. 20 selon DPT 2017) et un revenu sans invalidité de 4'927 francs (selon les instructions générales sur l'application des dispositions conventionnelles dans la maçonnerie et le génie civil, valables dans le canton de Vaud en 2017). Le revenu d'invalide étant supérieur à celui présumable sans invalidité, la perte de gain est nulle. En tout état de cause, que l'invalidité soit nulle ou de 1.75%, elle n'ouvre pas le droit à une rente (art. 18 LAI). Pour le surplus, la question de l'octroi d'une IPAI n’a pas à être examinée, faute pour cette conclusion d’être recevable (cf. consid. 2b supra). 11. Sur le plan médical, le dossier est complet, permettant ainsi à la Cour de céans de statuer en pleine connaissance de cause. Un complément d’instruction apparaît inutile et la requête du recourant tendant à la mise en œuvre d’une expertise pluridisciplinaire doit dès lors être rejetée. Le juge peut en effet mettre fin à l’instruction lorsque les preuves administrées lui ont permis de se forger une conviction et que,</w:t>
      </w:r>
    </w:p>
    <w:p>
      <w:r>
        <w:t>- 23 -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 10 p. 28 consid. 4b ; ATF 124 V 90 consid. 4b ; 122 V 157 consid. 1d et l’arrêt cité ; TF 9C_272/2011 du 6 décembre 2011). 12. a) En définitive, le recours, mal fondé, doit être rejeté, ce qui entraîne la confirmation de la décision attaquée. b) Par décision du 31 octobre 2017, le magistrat instructeur a accordé au recourant le bénéfice de l’assistance judiciaire avec effet au 30 octobre 2017 et désigné Me Valentin Aebischer en qualité d’avocat d’office (art. 118 al. 1 CPC [code fédéral de procédure civile du 19 décembre 2008 ; RS 272], applicable par renvoi de l’art. 18 al. 5 LPA-VD). Le recourant était exonéré du paiement de toute franchise mensuelle.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20 juin 2018, Me Aebischer a produit le relevé des opérations effectuées dans le cadre de la présente procédure. Il a annoncé un total de 12 heures et 6 minutes. Quant au montant des débours facturés, il s’élevait à 114 fr.50. Son activité a été contrôlée au regard de la conduite du procès et rentre globalement dans le cadre de l’accomplissement du mandat confié, de sorte que son indemnité doit être arrêtée à 2'477 francs (débours par 114 fr. 50 et TVA par 181 fr. 90 compris), compte tenu d'un tarif horaire de 180 fr. pour un avocat breveté (art. 2 al. 1 let. a RAJ).</w:t>
      </w:r>
    </w:p>
    <w:p>
      <w:r>
        <w:t>- 24 -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 et 55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