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ZA17.045247 vom 11. September 2019</w:t>
      </w:r>
    </w:p>
    <w:p>
      <w:r>
        <w:t>VD Tribunal cantonal, 2019-09-11, FR</w:t>
      </w:r>
    </w:p>
    <w:p>
      <w:r>
        <w:rPr>
          <w:b/>
        </w:rPr>
        <w:t xml:space="preserve">Quelle: </w:t>
      </w:r>
      <w:r>
        <w:t>https://mcp.opencaselaw.ch/entscheid/vd_gerichte_ZA17.045247</w:t>
      </w:r>
    </w:p>
    <w:p>
      <w:r>
        <w:t>FR: VD_GERICHTE ZA17.045247 du 11 septembre 2019</w:t>
      </w:r>
    </w:p>
    <w:p>
      <w:r>
        <w:t>IT: VD_GERICHTE ZA17.045247 del 11 settembre 2019</w:t>
      </w:r>
    </w:p>
    <w:p>
      <w:pPr>
        <w:pStyle w:val="Heading2"/>
      </w:pPr>
      <w:r>
        <w:t>Erwägungen</w:t>
      </w:r>
    </w:p>
    <w:p>
      <w:r>
        <w:rPr>
          <w:b/>
        </w:rPr>
        <w:t>E. 3</w:t>
      </w:r>
    </w:p>
    <w:p>
      <w:r>
        <w:t>Annuler la décision de la SUVA du 19 septembre 2017.</w:t>
      </w:r>
    </w:p>
    <w:p>
      <w:r>
        <w:rPr>
          <w:b/>
        </w:rPr>
        <w:t>E. 4</w:t>
      </w:r>
    </w:p>
    <w:p>
      <w:r>
        <w:t>Constater que le taux d’invalidité de M. S._______ est de 100% dans n’importe quelle activité même adaptée, ou ce que justice connaîtra.</w:t>
      </w:r>
    </w:p>
    <w:p>
      <w:r>
        <w:rPr>
          <w:b/>
        </w:rPr>
        <w:t>E. 5</w:t>
      </w:r>
    </w:p>
    <w:p>
      <w:r>
        <w:t>Accorder une rente d’invalidité en fonction d’un taux d’invalidité de 100%, ou ce que justice connaîtra.</w:t>
      </w:r>
    </w:p>
    <w:p>
      <w:r>
        <w:rPr>
          <w:b/>
        </w:rPr>
        <w:t>E. 6</w:t>
      </w:r>
    </w:p>
    <w:p>
      <w:r>
        <w:t>Accorder à M. S._______ une indemnité pour atteinte à l’intégrité de 25% de son gain assuré, soit CHF 31'500.- avec intérêts à 5% dès le jour de l’accident, sous déduction du montant déjà versé de CHF 18'900.-, ou ce que justice connaîtra.</w:t>
      </w:r>
    </w:p>
    <w:p>
      <w:r>
        <w:rPr>
          <w:b/>
        </w:rPr>
        <w:t>E. 7</w:t>
      </w:r>
    </w:p>
    <w:p>
      <w:r>
        <w:t>Condamner la SUVA à tout frais judiciaires, dépens et honoraires. Subsidiairement</w:t>
      </w:r>
    </w:p>
    <w:p>
      <w:r>
        <w:rPr>
          <w:b/>
        </w:rPr>
        <w:t>E. 8</w:t>
      </w:r>
    </w:p>
    <w:p>
      <w:r>
        <w:t>Annuler la décision de la SUVA du 19 septembre 2017.</w:t>
      </w:r>
    </w:p>
    <w:p>
      <w:r>
        <w:rPr>
          <w:b/>
        </w:rPr>
        <w:t>E. 9</w:t>
      </w:r>
    </w:p>
    <w:p>
      <w:r>
        <w:t>Ordonner et mettre directement en œuvre une expertise médicale pluridisciplinaire externe, neutre et indépendante.</w:t>
      </w:r>
    </w:p>
    <w:p>
      <w:r>
        <w:rPr>
          <w:b/>
        </w:rPr>
        <w:t>E. 10</w:t>
      </w:r>
    </w:p>
    <w:p>
      <w:r>
        <w:t>Désigner les médecins suivants à titre d'experts […].</w:t>
      </w:r>
    </w:p>
    <w:p>
      <w:r>
        <w:rPr>
          <w:b/>
        </w:rPr>
        <w:t>E. 11</w:t>
      </w:r>
    </w:p>
    <w:p>
      <w:r>
        <w:t>Accorder une rente d'invalidité à M. S.________ conformément aux résultats de l'expertise à intervenir.</w:t>
      </w:r>
    </w:p>
    <w:p>
      <w:r>
        <w:rPr>
          <w:b/>
        </w:rPr>
        <w:t>E. 12</w:t>
      </w:r>
    </w:p>
    <w:p>
      <w:r>
        <w:t>Accorder à M. S._______ une indemnité pour atteinte à l’intégrité de 25% de son gain assuré, soit CHF 31'500.- avec intérêts à 5% dès le jour de l’accident, sous déduction du montant déjà versé de CHF 18'900.-, ou ce que justice connaîtra.</w:t>
      </w:r>
    </w:p>
    <w:p>
      <w:r>
        <w:rPr>
          <w:b/>
        </w:rPr>
        <w:t>E. 13</w:t>
      </w:r>
    </w:p>
    <w:p>
      <w:r>
        <w:t>Condamner la SUVA à tout frais judiciaires, dépens et honoraires. Plus subsidiairement</w:t>
      </w:r>
    </w:p>
    <w:p>
      <w:r>
        <w:rPr>
          <w:b/>
        </w:rPr>
        <w:t>E. 14</w:t>
      </w:r>
    </w:p>
    <w:p>
      <w:r>
        <w:t>Annuler la décision de la SUVA du 19 septembre 2017.</w:t>
      </w:r>
    </w:p>
    <w:p>
      <w:r>
        <w:t>- 21 -</w:t>
      </w:r>
    </w:p>
    <w:p>
      <w:r>
        <w:rPr>
          <w:b/>
        </w:rPr>
        <w:t>E. 15</w:t>
      </w:r>
    </w:p>
    <w:p>
      <w:r>
        <w:t>Renvoyer la cause à la SUVA pour nouvelle instruction au sens des considérants.</w:t>
      </w:r>
    </w:p>
    <w:p>
      <w:r>
        <w:rPr>
          <w:b/>
        </w:rPr>
        <w:t>E. 16</w:t>
      </w:r>
    </w:p>
    <w:p>
      <w:r>
        <w:t>Condamner la SUVA à tout frais judiciaires, dépens et honoraires. » Le recourant a également requis le bénéfice de l'assistance judiciaire avec effet au 20 septembre 2017 avec désignation de Me Zumsteg en tant que mandataire d'office. Au fond, le recourant reprend l'argumentation qu'il a développée dans son acte d'opposition tant en ce qui concerne le droit à une rente entière d'invalidité, qu'en ce qui concerne le taux de l'IPAI. Il précise notamment ce qui suit : « […] l'examen médical réalisé par le médecin de la SUVA n'est pas probant. Il ne contient aucune anamnèse complète. Il n'est pas suffisamment étayé pour permettre une cohérence entre le contenu et les conclusions. Il a été réalisé par le médecin référent de la SUVA (médecin d'arrondissement), partial et dépendant de l'assurance. Dès lors il n'a aucune valeur probante. De plus et dans la mesure où les médecins du recourant ont des points de vue sensiblement différents, qu'ils connaissent mieux le patient et se fondent sur un suivi de longue durée, il y a lieu de s'en tenir à leurs appréciations qui elles, ont pleines valeurs probantes. A défaut et conformément à la jurisprudence, il convient d'ordonner une nouvelle expertise médicale complète, neutre et indépendante, que votre Autorité devra directement mettre en œuvre conformément à la jurisprudence du Tribunal fédéral (nous y reviendront ultérieurement). En outre et quel que soit le taux d'incapacité de travail retenu, il convient de constater que l'activité prétendument réalisable du point de vue de la SUVA ne permettrait en tous les cas pas d'obtenir un tel revenu compte tenu des limitations fonctionnelles du recourant. En effet, il convient de prendre en compte non seulement de la réalité médicale réelle et objective du recourant, mais également des possibilités réalistes et concrètes du marché du travail dans le cas particulier. En l'espèce, le gain réalisable avec les atteintes à la santé est nul compte tenu notamment des limitations fonctionnelles, de l'absence de formation, du peu de compétence, de l'âge et du marché du travail. Dès lors, la perte de gain est totale et il convient d'accorder une rente au recourant. […] La SUVA n'a à aucun moment effectué ou ordonné une expertise médicale externe et/ou pluridisciplinaire afin de clarifier la situation médicale du recourant. Pour ce motif déjà, la décision doit être annulée. Si une rente entière n'est pas directement accordée au recourant par votre Autorité, une expertise médicale pluridisciplinaire externe doit être ordonnée (médecine interne, chirurgie orthopédique, neurologie).</w:t>
      </w:r>
    </w:p>
    <w:p>
      <w:r>
        <w:t>- 22 - En effet, lorsque les appréciations d'observations professionnelles et médicales divergent sensiblement, il incombe à l'administration, respectivement au juge – conformément au principe de la libre appréciation des preuves – de confronter les deux évaluations et, au besoin, ont de requérir un complément d'instruction (arrêt du Tribunal fédéral I 540/03 du 10 novembre 2004 consid 4.1). […]. » Le recourant a produit une liasse de pièces. Par décision du 25 octobre 2017, le juge instructeur a accordé au recourant le bénéfice de l'assistance judiciaire à compter du 20 octobre précédent et a désigné Me Zumsteg comme conseil d'office. Par réponse du 2 février 2018, l'intimée, représentée par Me Didier Elsig, avocat à Lausanne, a conclu au rejet du recours dans la mesure où il est recevable. Après s'être référée aux dispositions légales mentionnées dans sa décision sur opposition, elle fait valoir en bref, pour ce qui est de la problématique de l'invalidité du recourant, qu'il n'incombe pas à la CNA de lui trouver un emploi et de traduire dans les faits des « possibilités réalistes et concrètes du marché du travail » (p. 7-8), mais bel et bien de procéder à un estimation de son invalidité en se basant sur des emplois concrets exigibles à l'aune des seules limitations traumatiques, et non en tenant compte des desiderata de l'assuré et des facteurs étrangers à l'accident incriminé. Elle rappelle par ailleurs que le Dr C.________ est un spécialiste en chirurgie et un médecin d'arrondissement expérimenté, et non un « éminent médecin-guérisseur » comme tente de le rabaisser le recourant et qu'il a examiné le recourant à deux reprises. L'évaluation des séquelles accidentelles proprement dites, soit au niveau de l'épaule, s'est avérée difficile lors de l'examen final vu l'attitude d'auto-limitation adoptée par l'assuré ainsi que la mauvaise corrélation entre l'imagerie médicale et l'examen clinique. Au terme de son examen et de l'analyse complète du dossier du recourant, le médecin d'arrondissement a retenu les limitations fonctionnelles suivantes : une activité légère de type industriel, sans port de charges moyennes, ni de bras en porte-à-faux et de travaux au-dessus de la lignée des épaules. Dans une telle activité adaptée, la capacité de travail du recourant est totale. C'est en tenant compte de ces limitations fonctionnelles objectives que la CNA a consigné</w:t>
      </w:r>
    </w:p>
    <w:p>
      <w:r>
        <w:t>- 23 - au dossier 5 DPT figurant parmi les nombreux postes existants, ce qui démontre que, sur le marché du travail, des emplois adaptés à la situation du recourant existent. Quant à l'IPAI retenue, 15 %, l'intimée estime choquant que le recourant compare sa situation à celle d'un assuré ayant subi une « amputation » du bras. Elle conclut qu'aucun élément scientifique et objectif ne permet de s'écarter de l'appréciation du médecin d'arrondissement, le Dr C.________. Par réplique du 12 février 2018, le recourant a déclaré maintenir ses conclusions. b) Par courrier du 27 septembre 2018, le juge instructeur a requis de l'OAI qu'il produise son dossier. Y figure notamment l'avis médical établi le 1er septembre 2017 par le médecin du Service médical régional (SMR) de l'OAI, le Dr W.________, spécialiste en médecine du travail, qui indique notamment ce qui suit : "Il [l'assuré] présenterait selon le Dr L.________ orthopédiste des B._________, le 08.01.14, un status post entorse de l'épaule D le 30.09.13 avec capsulite et lésion type SLAP syndrome de l'épaule D. L'IT (réd. : incapacité de travail) serait de 100% depuis, sans se prononcer sur une CTAA. Un séjour à la CRR fait suite du 26.11 au 17.12 du fait des LF (réd. : limitations fonctionnelles) chroniques de l'épaule D du fait du SLAP syndrome et du remaniement de la partie inférieure de la glène et de la désinsertion du ligament gléno- huméral inf., sans déficit sensitif-moteur. La situation était non stabilisée. Finalement une intervention intervient le 13.05.15 par arthroscopie, et en juillet, l'assuré peut partir en voyage 1 mois au Portugal. Un contrôle auprès du Dr L.________ le 30.10.15 et déc. 15 réitère le 100% d'IT, sans encore une fois se prononcer dans une AA (réd. : activité adaptée) ou un reclassement quelconque. Divers avis neurologiques évoquent en avr. 16 par la suite une neuropathie cubitale du coude D débutant dans le contexte d'un syndrome douloureux post traumatique scapulo-huméral D (Prof. Q.________, le 29.08.16 : chondropathie de la glène antérieure). L'examen du médecin d'arrondissement du 22.11.16 confirme les diagnostics antérieurs avec CTAH (réd. : capacité de travail dans l'activité habituelle) nulle définitivement, mais par contre, il précise bien que l'assuré peut avoir une CTAA (réd. : capacité de travail dans une activité adaptée) de 100% selon les LF en p 5. Vous demandez si les renseignements médicaux sont suffisants pour admettre une atteinte à la santé invalidante et dans l'affirmative de préciser comment compléter l'instruction. Notre position : il existe donc une IT durable (cf. ci-dessus) au vu de l'atteinte, mais dans une AA en post op, la CT est de 100% depuis le 26.11.16 au moins dans un travail de type tertiaire au vu des LF en p</w:t>
      </w:r>
    </w:p>
    <w:p>
      <w:r>
        <w:t>- 24 - 5 du RM (réd. : rapport médical) du MA (réd. : médecin d'arrondissement) Suva. Nous suivons en cela les conclusions du RM du MA Suva en fixant dès janv. 16, le 100% à plus de 6 mois de l'opération au vu des éléments au dossier. Synthèse : l'IT durable est fixée au 30.09.13. L'IT est de 100% depuis. La CTAH est nulle définitivement, nous serions d'accord ; mais dans une AA, elle est de 100% dès le 01.01.16. Les LF sont les suivantes : cf. p 1. (réd. : cf. p. 5 du rapport médical du médecin d'arrondissement de la CNA). Au total, nous suivons les conclusions, telles que formulées ci- dessus. Elles sont justes et convaincantes. » Figure également au dossier de l'OAI la fiche relative au calcul de l'invalidité dont il ressort que le revenu sans invalidité se monte à 58'946 fr., le revenu avec invalidité à 67'185 fr. 97 (revenu de base de 66'453 fr. 12 indexé à 2016) et que le préjudice économique est de 0 francs. Il est notamment précisé ce qui suit : "Source du RS (réd. : revenu sans invalidité) : Rapport employeur du 14.07.2014. Fr 28.74 de l'heure comprenant les vacances, congés et 13ème, 42,5 heures par semaine. = Fr 58'446.- en 2014 que nous indexons à 2015 58'946.- Sources médicales : Rapport SMR du 01.09.2017 et document SUVA du 19.09.2017 tenant en compte les LF suivantes : activité légère, sans port de charges moyennes, ni de bras en porte-à-faux et de travaux au-dessus de la lignée des épaules. Exemples d'activités adaptées : M. S.________ pourrait mettre sa capacité de travail résiduelle en valeur dans un travail simple et répétitif dans le domaine industriel léger, par exemple, montage, contrôle ou surveillance d'un processus de production, ouvrier à l'établi dans des activités simples et légères, ouvrier dans le conditionnement. » Le 9 octobre 2018, les parties ont été invitées à consulter le dossier de l'OAI et à déposer leurs éventuelles déterminations. Le 10 décembre 2018, l'intimée a indiqué qu'elle n'avait pas de remarque particulière à formuler sur le dossier de l'OAI. Le recourant ne s'est pas déterminé sur le dossier de l'OAI. E n d r o i t :</w:t>
      </w:r>
    </w:p>
    <w:p>
      <w:r>
        <w:t>- 25 - 1.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l’espèce, le litige a pour objet le droit du recourant à une rente d’invalidité de l’assurance-accidents et le taux de l'indemnité pour atteinte à l’intégrité retenu par l'intimée. c) On précisera que les modifications introduites par la novelle du 25 septembre 2015, entrée en vigueur le 1er janvier 2017 et modifiant diverses dispositions de la LAA, ne sont pas applicables au cas d'espèce, vu la date de l’accident assuré (cf. ch. 1 des dispositions transitoires relatives à cette modification [RO 2016 4388]).</w:t>
      </w:r>
    </w:p>
    <w:p>
      <w:r>
        <w:t>- 26 - 3.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b) Si l’assuré est invalide (art. 8 LPGA) à 10 %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w:t>
      </w:r>
    </w:p>
    <w:p>
      <w:r>
        <w:rPr>
          <w:b/>
        </w:rPr>
        <w:t>E. 19</w:t>
      </w:r>
    </w:p>
    <w:p>
      <w:r>
        <w:t>al. 1 LAA).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w:t>
      </w:r>
    </w:p>
    <w:p>
      <w:r>
        <w:t>- 27 - activité lucrative en dépit de ses problèmes de santé (ATF 135 V 215 consid. 7.2 et les références citées). c)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w:t>
      </w:r>
    </w:p>
    <w:p>
      <w:r>
        <w:t>- 28 -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 fondé (ATF 125 V 351 consid. 3b/bb p. 353 et les références citées ; TF 8C _862/2008 du 19 août 2009 consid. 4.2). 4. a) En ce qui concerne le droit à la rente d’invalidité, le recourant conteste le point de vue de l’intimée, en tant que celle-ci se base sur l’évaluation médicale du Dr C.________, selon laquelle, la capacité de travail est totale dans une activité adaptée respectant les limitations fonctionnelle suivantes : activité légère de type industriel, sans port de charges moyennes, ni de bras en porte-à-faux et de travaux au-dessus de la lignée des épaules. Il considère qu'elle n'a aucune valeur probante et fait valoir qu'il est impotent et qu'une rente d'invalidité de 100 % doit lui être servie. Pour sa part, l'intimée estime que l'examen final de son médecin d'arrondissement repose sur une connaissance complète du dossier médical et que ses conclusions, objectives et motivées sont</w:t>
      </w:r>
    </w:p>
    <w:p>
      <w:r>
        <w:t>- 29 - convaincantes eu égard notamment à l'évaluation clinique difficile due à l'attitude d'auto-limitation adoptée par le recourant. b) Sur le plan médical, il est constant que le recourant présente un tableau clinique caractérisé par une atteinte à son épaule droite depuis l'accident du 30 septembre 2013 (chute dans les escaliers ou d'un escabeau selon les déclarations variables du recourant avec réception sur le bras droit). Dans le rapport médical initial du 16 décembre 2013, le Dr L.________ posait comme diagnostic une contusion de l'épaule droite avec suspicion d'une lésion de la coiffe des rotateurs tout en indiquant que les constatations radiologiques ne mettaient rien de spécial en évidence. Le traitement proposé était uniquement conservateur et antalgique. Le 6 février 2014, il posait comme diagnostics un status post entorse de l'épaule droite, une capsulite post traumatique de l'épaule droite légère et la suspicion d'une lésion SLAP. Le traitement restait conservateur et sa durée estimée à dix-huit mois selon évolution. Au vu de l'évolution stagnante, le recourant a été examiné une première fois par le Dr C.________ le 7 octobre 2014, qui a préconisé un séjour à la CRR. Lors de celui-ci, les spécialistes qui l'ont suivi sont arrivés à la conclusion de la possibilité d'une probable instabilité de l'épaule droite avec remaniements de la partie inférieure de la glène et désinsertion du ligament gléno- huméral inférieur (arthro-IRM du 15 décembre 2014. Tout en relevant que les examens avaient été rendus difficiles chez un patient qui s'auto- limitait, ils ont préconisé une arthroscopie à visée diagnostique. Le 20 février 2015, le Dr L.________ relevait que le patient se plaignait d'une augmentation des douleurs et également de sensations de fourmillements se propageant de l'épaule jusque dans la main droite. Selon lui, il y avait indication pour une intervention chirurgicale (arthroscopie de l'épaule droite, avec arthrolyse, ténotomie/ténodèse du long chef du biceps). Le recourant a été opéré par le Dr L.________ le 15 mai 2015. L'opération s'est déroulée sans complications, les suites opératoires ont été décrites comme simples et les douleurs bien contrôlées par une antalgie simple (cf. avis de sortie du 6 juillet 2015). Le 15 juillet 2015, le Dr L.________ indiquait que l'évolution était favorable, avec des douleurs jusqu'à 3/10 au repos. Toutefois, le 11 décembre 2015, il posait comme nouveau</w:t>
      </w:r>
    </w:p>
    <w:p>
      <w:r>
        <w:t>- 30 - diagnostic une capsulite rétractile post opératoire de stade I et décrivait l'évolution comme stagnante. Le recourant se plaignait de la persistance de douleurs et de paresthésies et fourmillements au niveau des 4ème et 5ème doigts de la main droite. C'est dans ce contexte que le recourant a été examiné par le Dr G.________, neurologue, qui a a indiqué que l'examen clinique avait été difficile par un patient qui faisait beaucoup de lâchages et modifiait sa collaboration. Il n'avait finalement pu aboutir qu'au diagnostic d'une atteinte de la branche profonde du nerf cubital dans la main droite, éventuellement associée à une atteinte de la branche sensitive dorsale du nerf cubital droit. Le Dr G.________ indiquait que la relation avec l'accident était impossible à établir sur le plan anamnestique, l'assuré n'étant pas très clair sur le fait qu'il y aurait eu ou non également une blessure au niveau de la main lors de l'accident. Il proposait des investigations radiologiques (rapport du 25 novembre 2015). Le recourant a finalement été examiné par un deuxième spécialiste en neurologie, le Dr T.________, en mars 2016. Celui-ci a confirmé la présence d'une discrète neuropathie cubitale au passage du coude droit, caractérisée par un ralentissement des vitesses de conductions sensitives. Il relevait que cette symptomatologie était essentiellement irritative et très discrètement déficitaire du point de vue sensitif uniquement. Il proposait une approche conservatrice (cf. rapport du 15 mars 2016). Le recourant a encore été examiné le 13 avril 2016 par le Dr H.________, spécialiste en chirurgie orthopédique et de la main. Ce dernier, reprenant le diagnostic de neuropathie cubitale au coude droit débutante retenue par le Dr T.________, indiquait qu'une sanction chirurgicale éventuelle en raison de la gêne et des déficits constatés ne saurait avoir lieu tant que durerait l'importante limitation fonctionnelle de l'épaule droite. Il proposait que le recourant poursuive sa rééducation et le recontacte lorsque la situation de l'épaule serait normalisée (cf. rapport du 13 avril 2016. Au vu de ces avis médicaux, le Dr C.________ a décidé le 27 avril 2016 d'adresser le recourant au Prof Q.________, chef du Service d'orthopédie et de traumatologie du K._________ du I._________. Celui-ci, dans son rapport du 29 août 2016 a posé le diagnostic de syndrome douloureux post- traumatique scapulo-brachial droit et de status après arthroscopie de l'épaule droite en mai 2015 avec plastie capsulo-ligamentaire antérieure</w:t>
      </w:r>
    </w:p>
    <w:p>
      <w:r>
        <w:t>- 31 - et micro-fractures. Dans son rapport il rapportait que le recourant, pour éviter une chute, s'était retenu à des branches et à des fleurs avec un mouvement d'entorse et en abduction rotation externe. Il exposait que l'arthro-IRM de l'épaule droite réalisée en avril 2016 avait mis en évidence une coiffe des rotateurs en continuité avec une excellente trophicité musculaire, long biceps en place en intra-articulaire dans la gouttière bicipitale et une chondropathie dans la partie antérieure de la glène. Dans son appréciation du cas, le Prof Q.________ relevait que si le recourant présentait un syndrome douloureux chronique post-traumatique avec une impotence fonctionnelle, celui-ci était lié à une important limitation. Il estimait en outre probable que des facteurs extra-orthopédiques influençaient également l'évolution. Il n'y avait pas selon lui d'indication à une révision chirurgicale. Dans ce contexte, le recourant a été vu le 22 novembre 2016, soit plus de dix-huit mois après l'intervention chirurgicale réalisée par le Dr L.________, pour un examen final. Au terme de celui-ci, en relevant l'importante auto-limitation dont avait fait preuve le recourant au cours de l'examen clinique, qui avait rendu celui-ci difficilement interprétable, le Dr C.________ est arrivé à la conclusion qu'il n'y avait plus de traitement à entreprendre, que la situation était stabilisée d'un point de vue médical et que si l'assuré ne pouvait plus, du fait de sa pathologie à l'épaule droite, exercer son activité antérieure de poseur de fenêtres, il conservait une capacité de travail à 100 % dans une activité adaptée à ses limitations fonctionnelles (activité légère de type industriel, sans port de charges moyennes, ni de bras en porte-à-faux et de travaux au-dessus de la lignée des épaules). Comme on l'a vu dans le résumé du parcours "médical" du recourant, son avis est corroboré par les spécialistes en neurologie et chirurgie orthopédique qu'il a consultés. Plus particulièrement, le Prof Q.________ a relevé que le syndrome douloureux chronique post-traumatique avec impotence fonctionnelle était non seulement lié à une importante auto-limitation du recourant mais que son évolution dépendait probablement également de facteurs extra- orthopédiques. Dans ces conditions, il y a lieu de reconnaître à l'avis médical du médecin d'arrondissement de la CNA du 22 novembre 2016 une pleine valeur probante. Ses conclusions reposent sur une analyse des</w:t>
      </w:r>
    </w:p>
    <w:p>
      <w:r>
        <w:t>- 32 - documents médicaux à sa disposition, des examens radiologiques et des examens cliniques : elles sont claires et convaincantes. c) Rien au dossier ne permet de remettre en cause ce point de vue sur le plan médical. Pour autant qu'on puisse considérer que le Dr L.________ ne partagerait pas l'avis du médecin d'arrondissement de la CNA, force est de constater qu'il ne donne aucune explication pour retenir que l'incapacité de travail du recourant demeurerait totale, étant relevé que cette indication semble se référer plutôt à l'activité habituelle de poseur de fenêtres. Dans tous les cas, il ne s'est jamais prononcé sur une capacité de travail dans une activité adaptée. Faute d'élément objectif propre à remettre en cause le caractère exigible de l’activité adaptée, celle-ci doit être admise. Par ailleurs, l'allégation de l'existence d'une pathologie psychiatrique en lien avec l'accident du 30 septembre 2013 n'est corroborée par aucun document médical. Au demeurant, on relève que le Dr W.________ du SMR, spécialiste en médecine du travail, s'est rallié aux conclusions du Dr C.________ qu'il a décrites comme justifiées et a lui aussi retenu une capacité de travail entière dans une activité adaptée aux limitations fonctionnelles. 5. Reste à examiner le degré d’invalidité présenté par le recourant, compte tenu de sa capacité totale de travail dans une activité adaptée. a) A titre liminaire, on notera que selon la jurisprudence relative au principe d'uniformité de la notion d'invalidité dans l'assurance sociale, l'évaluation de l'invalidité par les organes de l'assurance-invalidité n'a pas de force contraignante pour l'assureur-accidents (cf. ATF 131 V 362 consid. 2.3). Plus particulièrement, l’assureur-accidents ne répond que des conséquences des atteintes à la santé qui sont en relation de causalité naturelle et adéquate avec l’accident assuré ; c’est pourquoi l’évaluation de l’invalidité par les organes de l’assurance-accidents n’a pas de force</w:t>
      </w:r>
    </w:p>
    <w:p>
      <w:r>
        <w:t>- 33 - contraignante absolue pour l’assurance-invalidité, et vice-versa (ATF 133 V 549 consid. 6.2 et 6.4 et 131 V 362 consid. 2.2.1 et 2.2.2). ll est donc admissible d'évaluer l'invalidité du recourant indépendamment de l’appréciation émise en matière d'assurance- invalidité. b) Pour évaluer le taux d’invalidité, et ainsi le montant de la rente, le revenu du travail que l’assuré aurait pu obtenir s’il n’était pas invalide est comparé à celui que l’assuré devenu invalide par suite d’un accident pourrait obtenir en exerçant l’activité qu’on peut raisonnablement attendre de lui, après exécution éventuelle de traitements et de mesures de réadaptation et compte tenu d’une situation équilibrée du marché du travail (cf. art. 16 LPGA, auquel renvoie implicitement l’art. 18 al. 2 LAA ; TF 8C_125/2010 du 2 novembre 2010 consid. 2).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 ATF 137 V 334 consid. 3.1.1 et 130 V 343 consid. 3.4 ; TF 9C_163/2017 du 2 mai 2017 consid. 3.1). Pour procéder à la comparaison des revenus, il convient de se placer au moment de la naissance du droit (éventuel) à la rente ; les revenus avec et sans invalidité doivent alors être déterminés par rapport à un même moment et les modifications de ces revenus susceptibles d'influencer le droit à la rente survenues jusqu'au moment où la décision est rendue être prises en compte (ATF 129 V 222, consid. 4, 128 V 174, consid. 4.1 et 4.2). c) aa) Pour fixer le revenu d’invalide, on se fondera sur un revenu hypothétique lorsque l’assuré ne met pas – ou pas pleinement – à profit sa capacité de travail après l’accident. Dans ce cas, la jurisprudence a dégagé deux méthodes d’évaluation du revenu d’invalide, entre lesquelles le Tribunal fédéral a renoncé à donner la préférence ; la</w:t>
      </w:r>
    </w:p>
    <w:p>
      <w:r>
        <w:t>- 34 - première se fonde sur les données salariales publiées par l’Office fédéral de la statistique (OFS) dans l’Enquête suisse sur la structure des salaires (ESS), tandis que la seconde repose sur les données salariales résultant de descriptions de postes de travail (DPT) récoltées par la CNA (ATF 135 V 297 consid. 5.2 ; ATF 129 V 472 consid. 4.2.1 et les références citées). Selon la jurisprudence, la détermination du revenu d'invalide sur la base des données salariales résultant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(ATF 129 V 472 consid. 4.2.2). bb) En l'occurrence, l’intimée a déterminé le revenu d’invalide sur la base des données salariales résultant de cinq DPT, et a ainsi retenu un revenu de 58'378 fr. 40. Le recourant fait valoir que ces DPT ne tiennent pas compte de ses limitations fonctionnelles et ne permettent pas de tenir compte des possibilités réalistes et concrètes du marché du travail dans son cas particulier. Il soutient en outre que, quel que soit le taux d'incapacité de travail retenu, l'activité prétendument réalisable du point de vue de l'intimée ne permettrait en tous les cas pas d'obtenir le revenu susmentionné compte tenu de ses limitations fonctionnelles. Le bien-fondé du choix des DPT opéré par l’intimée doit être examiné uniquement à la lumière des lésions se trouvant en lien de causalité avec l’accident de septembre 2013. Or, il convient de constater que dans le choix des DPT, la CNA a pris en compte la nécessité d’une activité légère et les limitations fonctionnelles liées à l’épaule droite, déterminées par le Dr C.________ et non contestées par les autres médecins consultés. Les DPT choisies par la CNA ne sont donc pas critiquables. Cette dernière a en outre respecté les conditions imposées par la jurisprudence en la matière (cf. consid. 5c supra). Le revenu moyen d'invalide de 58'378 fr. 40 retenu par l'intimée ne prête ainsi pas le flanc à la critique.</w:t>
      </w:r>
    </w:p>
    <w:p>
      <w:r>
        <w:t>- 35 - d) aa) Le revenu sans invalidité doit être déterminé en établissant au degré de la vraisemblance prépondérante ce que l'assuré aurait effectivement pu réaliser au moment déterminant s'il était en bonne santé (ATF 134 V 322 consid. 4.1 ). C'est pourquoi il se déduit en principe du salaire réalisé en dernier lieu par la personne assurée avant l'atteinte à la santé, en tenant compte de l'évolution des salaires (cf. ATF 134 V 322 consid. 4.1 ; cf. TF 9C_719/2015 du 3 juin 2016 consid. 6.2). bb) En l'occurrence, pour déterminer le revenu sans invalidité du recourant, l'intimée s'est fondée sur les indications fournies par l'ancien employeur du recourant (24 fr. 38 * 2158 heures + 8,33 %), ce qui correspond à un revenu annuel sans invalidité de 56'995 francs. Certes, elle n'a pas indexé le salaire de 2013 à 2017, naissance éventuelle du droit à une rente. Toutefois, après indexation de ce montant à 2017 (+ 0,7 % en 2014, + 0,3 % en 2015 + 0, 6 % en 2016 et + 0,4 % en 2017 [Office fédéral de la statistique OFS, Evolution des salaires nominaux, des prix à la consommation et des salaires réels, 1990-2015)], on aboutit à un revenu sans invalidité de 58'134 fr. 90 et la comparaison de ce revenu avec le revenu d'invalide déterminé sur la base des DPT (58'378 fr. 40) conduit à constater que le recourant ne subit aucun préjudice économique, que son degré d'invalidité est dès lors de 0 %, ce qui exclut le droit à une rente d'invalidité. La décision sur opposition est ainsi bien fondée en ce qui concerne le droit à une rente d'invalidité. 6. a) Le recourant reproche également à l'intimée une estimation incorrecte de l’indemnité pour atteinte à l’intégrité à laquelle elle a droit. Il prétend à une indemnité pour atteinte à l'intégrité de 25 %. b) Aux termes de l'art. 24 al. 1 LAA, si, par suite de l'accident, l'assuré souffre d'une atteinte importante et durable à son intégrité physique, mentale ou psychique, il a droit à une indemnité équitable pour atteinte à l'intégrité. Selon l’art. 36 al. 1 OLAA (ordonnance du 20</w:t>
      </w:r>
    </w:p>
    <w:p>
      <w:r>
        <w:t>- 36 - décembre 1982 sur l’assurance-accidents ; RS 832.202), une atteinte à l'intégrité est réputée durable lorsqu'il est prévisible qu'elle subsistera avec au moins la même gravité pendant toute la vie ;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du 18 août 1976, in :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citées). L'indemnité pour atteinte à l'intégrité se caractérise par le fait qu'elle est exclusivement fixée en fonction de facteurs médicaux objectifs, valables pour tous les assurés, et sans égard à des considérations d'ordre subjectif ou personnel (FRÉSARD/MOSER-SZELESS, L’assurance-accidents obligatoire, in : Schweizerisches Bundesverwaltungsrecht, Soziale Sicherheit [SBVR] vol. XIV, 3ème éd., Bâle 2016, p. 998 n. 311). Cela signifie que pour tous les assurés présentant un status médical identique, l'atteinte à l'intégrité est la même (ATF 133 V 224 consid. 5.1 ; ATF 115 V 147 consid. 1 ; ATF 113 V 218 consid. 4b ; TF 8C_812/2010 du 2 mai 2010 consid. 5.2). Une atteinte à l'intégrité au sens de l'art. 24 al. 1 LAA consiste généralement en un déficit corporel – anatomique ou fonctionnel –, mental ou psychique. La gravité de l'atteinte, dont dépend le montant de</w:t>
      </w:r>
    </w:p>
    <w:p>
      <w:r>
        <w:t>- 37 - l'indemnité, se détermine uniquement d'après les constatations médicales. L'évaluation incombe donc avant tout aux médecins, qui doivent, d'une part, constater objectivement quelles limitations subit l'assuré et, d'autre part, estimer l'atteinte à l'intégrité en résultant (TF 8C_703/2008 du 25 septembre 2009 consid. 5.2 et les références citées). Aux termes de l’art. 25 al. 1 LAA, l’IPAI est échelonnée selon la gravité de l’atteinte,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et 113 V 218 consid. 4b et les références citées). L'annexe 3 de l'OLAA comporte un barème – reconnu conforme à la loi et non exhaustif – des lésions fréquentes et caractéristiques, évaluées en pour cent (ATF 124 V 29 consid. 1b ; ATF 113 V 218 consid. 2a). Il représente une « règle générale » (ch. 1 al. 1 de l'annexe). Pour les atteintes qui sont spéciales ou qui ne figurent pas dans la liste, il y a lieu d'appliquer le barème par analogie, en tenant compte de la gravité de l'atteinte (ch. 1 al. 2 de l'annexe). En vue d'une évaluation encore plus affinée de certaines atteintes, la Division médicale de la Caisse nationale suisse d’assurance en cas d’accidents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ATF 116 V 156 consid. 3a ; RAMA 1998 n° U 296 p. 235, U 145/96 consid. 2a). c) En l'espèce, dans son rapport du 22 novembre 2016, le Dr C.________, – seul médecin à s’être prononcé sur la question – a retenu qu'en présence d'une épaule mobile jusqu'à l'horizontale, un taux d'indemnisation de 15 % pouvait être retenu. Il a ainsi procédé par analogie conformément à l'annexe 3 ch. 1 OLAA, en se référant à la table</w:t>
      </w:r>
    </w:p>
    <w:p>
      <w:r>
        <w:t>- 38 - 1 de la CNA, laquelle prévoit une IPAI de 15 % pour une telle atteinte. L'appréciation du Dr C.________ échappe ainsi à la critique, quoi qu'en dise l'assuré, ce d'autant qu'il n'est contredit par aucun autre médecin. d)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En l'espèce, la Cour de céans ayant été en mesure de statuer sur la base des éléments médicaux figurant au dossier, la requête d'expertise pluridisciplinaire s'avère inutile et doit être rejetée. 7. a) En conclusion, le recours doit être rejeté et la décision attaquée confirmée. b) Il n’y a pas lieu de percevoir de frais judiciaires, la procédure étant gratuite (art. 61 let. a LPGA). c) Le recourant, qui n’obtient pas gain de cause, n’a pas droit à des dépens (art. 61 let. g LPGA). d) Lorsqu’une partie a été mise au bénéfice de l’assistance judiciaire, une équitable indemnité au conseil juridique désigné d’office pour la procédure, est supportée par le canton (art. 122 al. 1 let. a CPC [code de procédure civile du 19 décembre 2008 ; RS 272], applicable par</w:t>
      </w:r>
    </w:p>
    <w:p>
      <w:r>
        <w:t>- 39 - renvoi de l’art. 18 al. 5 LPA-VD). Le défenseur d’office a droit au remboursement forfaitaire de ses débours et à un défraiement équitable, qui est fixé en considération de l’importance de la cause, de ses difficultés, de l’ampleur du travail et du temps qu’il y a consacré. Le juge apprécie l’étendue des opérations nécessaires pour la conduite du procès et applique un tarif horaire de 180 fr. s’agissant d’un avocat (art. 2 al. 1 let. a RAJ [règlement cantonal du 7 décembre 2010 sur l’assistance judiciaire en matière civile ; BLV 211.02.3). En l’espèce, par décision du juge instructeur du 25 octobre 2017, le recourant a été mis au bénéfice de l’assistance judiciaire avec effet au 20 octobre 2017 et a obtenu à ce titre la commission d’un avocat d’office en la personne de Me Zumsteg. Ce dernier a produit sa liste des opérations le 29 mai 2019. Ces opérations sont justifiées à l’exception de celles antérieures au 20 octobre 2017 qui totalisent un montant de 1'636 fr. 20 et pour lesquelles le conseil d’office a déjà été indemnisé dans le cadre de l’assistance juridique que lui a octroyée l’intimée. Il ressort par ailleurs de la facture d’honoraires d’un montant de 4'108 fr. 95 qui a été envoyée au recourant en date du 29 mai 2019 que des débours (ou frais forfaitaires) ont été comptabilisés au taux de 10 %. Or, selon l’art. 3bis al. 1 RAJ (règlement cantonal du 7 décembre 2010 sur l’assistance judiciaire en matière civile ; BLV 211.02.3), le montant forfaitaire des débours est fixé à 5 % du défraiement hors taxe. Après les rectifications qui s’imposent pour les motifs exposés ci-dessus, l’indemnité de Me Zumsteg est au final arrêtée à 2'360 fr. 40., débours et TVA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