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ZA17.045033 vom 18. April 2018</w:t>
      </w:r>
    </w:p>
    <w:p>
      <w:r>
        <w:t>VD Tribunal cantonal, 2018-04-18, FR</w:t>
      </w:r>
    </w:p>
    <w:p>
      <w:r>
        <w:rPr>
          <w:b/>
        </w:rPr>
        <w:t xml:space="preserve">Quelle: </w:t>
      </w:r>
      <w:r>
        <w:t>https://mcp.opencaselaw.ch/entscheid/vd_gerichte_ZA17.045033</w:t>
      </w:r>
    </w:p>
    <w:p>
      <w:r>
        <w:t>FR: VD_GERICHTE ZA17.045033 du 18 avril 2018</w:t>
      </w:r>
    </w:p>
    <w:p>
      <w:r>
        <w:t>IT: VD_GERICHTE ZA17.045033 del 18 aprile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- 6 -</w:t>
      </w:r>
    </w:p>
    <w:p>
      <w:r>
        <w:rPr>
          <w:b/>
        </w:rPr>
        <w:t>E. 2</w:t>
      </w:r>
    </w:p>
    <w:p>
      <w:r>
        <w:t>Le litige porte sur le droit du recourant à des prestations en espèces de l’assurance-accidents pour la période postérieure au 23 février 2017.</w:t>
      </w:r>
    </w:p>
    <w:p>
      <w:r>
        <w:rPr>
          <w:b/>
        </w:rPr>
        <w:t>E. 3</w:t>
      </w:r>
    </w:p>
    <w:p>
      <w:r>
        <w:t>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4</w:t>
      </w:r>
    </w:p>
    <w:p>
      <w:r>
        <w:t>Dans un premier moyen de nature formelle, le recourant invoque une violation de son droit d’être entendu, en tant que l’intimée ne lui aurait remis que quelques jours avant l’échéance du délai de recours le rapport du 29 juin 2017 du Dr F.________, le privant ainsi sciemment de la possibilité de s’exprimer sur son résultat. Il relève également à l’appui de son argumentation ses carences en langue française et une méconnaissance de la procédure en matière d’assurances sociales. a) L'art. 29 al. 2 Cst. (Constitution fédérale de la Confédération suisse du 18 avril 1999 ; RS 101) garantit aux parties à une procédure judiciaire ou administrative le droit d'être entendues (également l'art. 42 LPGA dans le cadre des procédures devant les assureurs sociaux).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 ; 136 I 265 consid. 3.2 et les références citées).</w:t>
      </w:r>
    </w:p>
    <w:p>
      <w:r>
        <w:t>- 7 -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 133 I 201 consid. 2.2 ; TF 6B_33/2014 du 13 mars 2014 consid. 2). b) En l’espèce, la question de savoir si l’intimée a violé le droit d’être entendu du recourant en ne lui communiquant pas immédiatement le rapport du 29 juin 2017 du Dr F.________ peut demeurer indécise, dans la mesure où cette violation a, en tout état de cause, été réparée en procédure de recours, puisque le recourant a pu prendre connaissance de ladite pièce et s’exprimer à son sujet dans le cadre du recours. Le grief tiré d’une violation du droit d’être entendu doit en conséquence être rejeté.</w:t>
      </w:r>
    </w:p>
    <w:p>
      <w:r>
        <w:rPr>
          <w:b/>
        </w:rPr>
        <w:t>E. 5</w:t>
      </w:r>
    </w:p>
    <w:p>
      <w:r>
        <w:t>Sur le fond, il convient d’analyser la question de savoir si l’intimée était fondée à mettre un terme au versement de toute prestation de l’assurance-accidents, singulièrement si l’accident avait cessé de déployer des effets au 23 février 2017.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w:t>
      </w:r>
    </w:p>
    <w:p>
      <w:r>
        <w:t>- 8 -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w:t>
      </w:r>
    </w:p>
    <w:p>
      <w:r>
        <w:t>- 9 -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 TF 8C_283/2017 du 26 novembre 2017 consid. 3.2 et la référence citée).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w:t>
      </w:r>
    </w:p>
    <w:p>
      <w:r>
        <w:t>- 10 - motivées (ATF 134 V 231 consid. 5.1 ; 125 V 351 consid. 3a ; TF 8C_75/2017 du 24 octobre 2017 consid. 3.4).</w:t>
      </w:r>
    </w:p>
    <w:p>
      <w:r>
        <w:rPr>
          <w:b/>
        </w:rPr>
        <w:t>E. 6</w:t>
      </w:r>
    </w:p>
    <w:p>
      <w:r>
        <w:t>a) En l’espèce, il n’est pas contesté que le recourant ne souffre plus de sa cheville, ni de son pied gauches et qu’il n’a pas subi de fracture. Concernant son épaule gauche, la radiographie réalisée le 15 septembre 2016 n’a pas mis en évidence de fracture et l’IRM du 23 novembre 2016 a confirmé l’absence de lésion osseuse d’allure traumatique. Une tendinopathie des muscles infra et supra-épineux sans rupture de la coiffe des rotateurs associée et une discrète bursite sous- acromio-deltoïdienne ont néanmoins été détectés. b) Ladite tendinopathie est retenue par les différents médecins qui ont examiné le recourant, mais leur appréciation diffère quant aux effets sur la capacité de travail et sur les limitations. En effet, le Dr J.________ expose la persistance de l’omalgie, ainsi qu’un pronostic défavorable avec une possible limitation sur le long terme du port de charges lourdes (rapport du 2 février 2017). Dans son rapport du 9 mars 2017, il relève une évolution discrètement favorable et la régression des douleurs, mais avec une faiblesse au niveau de la force et une amplitude réduite. Le Dr L.________ estime quant à lui l’évolution lentement favorable et un retour au travail à 50 % au 29 mai 2017, mais relève une sensibilité lors de certains mouvements (rapport du 24 avril 2017). Les Drs W.________ et F.________ ont pour leur part retenu une reprise à 100 %, sans aucune limitation (rapports du 2 février 2017, respectivement du 29 juin 2017). Leur analyse diverge néanmoins quant à la date de cette reprise ; le Dr W.________ l’a fixée au 23 février 2017 compte tenu d’un examen clinique rassurant et d’un bilan radiologique ne montrant pas de lésions osseuse ou d’atteinte tendineuse significative, alors que le Dr F.________ évalue la reprise à six mois après l’accident vu la récupération de pratiquement toute la mobilité, un examen clinique rassurant et une absence de lésion structurelle démontrable due à l’accident, malgré la persistance des douleurs lorsque le recourant soulève des charges.</w:t>
      </w:r>
    </w:p>
    <w:p>
      <w:r>
        <w:t>- 11 - c) A la lumière de ces rapports, en particulier au vu des douleurs persistantes du recourant relevées par les médecins, notamment lors de port de charges, et de la divergence entre les rapports des Drs W.________ et F.________ quant à la date de reprise de l’activité à 100 %, la question de la stabilisation de l’état de santé reste indécise. Compte tenu des atteintes à la santé présentées par le recourant, il semble judicieux de procéder à une analyse plus poussée de cette question. L’intimée ne pouvait donc pas, eu égard en particulier aux rapports médicaux contradictoires établis par le Drs W.________ et F.________, retenir que l’état de santé du recourant était stabilisé en date du 23 février 2017. d) A ce stade, il n’appartient toutefois pas au Tribunal d’ordonner la forme que doit prendre cette instruction, mais à l’intimée de mettre en œuvre les mesures d’instruction idoines aux fins d’éclaircir la question faisant l’objet du considérant 6c ci-dessus conformément au principe inquisitoire qui régit la procédure dans le domaine des assurances sociales (art. 43 al. 1 LPGA).</w:t>
      </w:r>
    </w:p>
    <w:p>
      <w:r>
        <w:rPr>
          <w:b/>
        </w:rPr>
        <w:t>E. 7</w:t>
      </w:r>
    </w:p>
    <w:p>
      <w:r>
        <w:t>a) En conclusion, le recours doit être admis et la cause renvoyée à la CNA pour complément d’instruction dans le sens des considérants, puis nouvelle décision. b) Il n’y a pas lieu de percevoir de frais judiciaires, la procédure étant gratuite (art. 61 let. a LPGA). c) Obtenant gain de cause avec l'assistance d'un mandataire professionnel, le recourant a droit à une indemnité de dépens à titre de participation aux honoraires de son conseil (art. 61 let. g LPGA), qu’il convient de fixer équitablement à 2'800 fr., montant qui couvre l’indemnité d’office à laquelle pourrait prétendre le conseil du recourant au titre de l’assistance judiciaire. Par ces motifs,</w:t>
      </w:r>
    </w:p>
    <w:p>
      <w:r>
        <w:t>- 12 - la Cour des assurances sociales p r o n o n c e : I. Le recours est admis. II. La décision rendue le 18 septembre 2017 par la Caisse nationale d’assurance en cas d’accidents est annulée, la cause lui étant renvoyée pour nouvelle décision au sens des considérants. III. Il n’est pas perçu de frais judiciaires. IV. La Caisse nationale suisse d’assurance en cas d’accidents versera à C.________ une indemnité de 2'800 fr. (deux mille huit cents francs) à titre de dépens. Le président : La greffière : Du L'arrêt qui précède, dont la rédaction a été approuvée à huis clos, est notifié à : - Me Geneviève Chapuis Emery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