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ZA17.020779 vom 27. März 2018</w:t>
      </w:r>
    </w:p>
    <w:p>
      <w:r>
        <w:t>VD Tribunal cantonal, 2018-03-27, FR</w:t>
      </w:r>
    </w:p>
    <w:p>
      <w:r>
        <w:rPr>
          <w:b/>
        </w:rPr>
        <w:t xml:space="preserve">Quelle: </w:t>
      </w:r>
      <w:r>
        <w:t>https://mcp.opencaselaw.ch/entscheid/vd_gerichte_ZA17.020779</w:t>
      </w:r>
    </w:p>
    <w:p>
      <w:r>
        <w:t>FR: VD_GERICHTE ZA17.020779 du 27 mars 2018</w:t>
      </w:r>
    </w:p>
    <w:p>
      <w:r>
        <w:t>IT: VD_GERICHTE ZA17.020779 del 27 marzo 2018</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 7. a) En l’espèce, on rappellera, à titre liminaire, que la décision entreprise porte uniquement sur les troubles relatifs aux accidents de 2013 et 2015. Le recourant soutient principalement que l’évaluation de sa capacité résiduelle de travail doit prendre en compte l’intégralité de ses atteintes, soit non seulement les suites des accidents de 2013 et 2015 mais également les troubles du genou droit constituant selon lui une</w:t>
      </w:r>
    </w:p>
    <w:p>
      <w:r>
        <w:t>- 28 - rechute d’un accident de 1987, rechute annoncée à la CNA par courriers du 2 novembre et 19 décembre 2016. A cet égard, l'assurance-accidents statuant sur opposition est tenue en principe de prendre en considération tous les faits pertinents survenus jusqu'au moment de la décision sur opposition, et qui restent liés au litige. Cela étant, le rapport juridique sur lequel elle se prononce peut être limité aux prestations dues en raison d'un accident en particulier, quand bien même plusieurs autres événements accidentels se seraient produits avant la décision sur opposition. Dans certaines circonstances, la jurisprudence admet que les conséquences de plusieurs accidents successifs soient constatées dans des décisions séparées. Cette manière de procéder peut, certes, nuire à l'établissement des faits dans certains cas; mais elle peut aussi contribuer au traitement de l'opposition dans un délai approprié (cf. art. 52 al. 2 LPGA). En cas d'accidents successifs, l'assurance-accidents devra donc procéder à une pesée des intérêts avant de décider si elle entend se prononcer sur les conséquences de tous les accidents en une seule décision (sur opposition) ou si elle entend rendre plusieurs décisions (TF U 16/07 du 9 mai 2007 consid. 3.2 et réf. cit.). Dans le cas présent, c’est à juste titre que la CNA a limité l’objet de la contestation aux accidents de 2013 et 2015 dans le cadre de la décision sur opposition. Cette manière de procéder permet en effet de traiter l’opposition du recourant dans un délai convenable, étant précisé qu’en raison de l’accident survenu en 2015, l’instruction auprès de l’intimée aura déjà duré quatre ans. Il appartiendra toutefois à la CNA d’instruire la question de l’éventuelle rechute du genou droit, en particulier sous l’angle du lien de causalité entre les troubles annoncés et l’accident de 1987, et le cas échéant de statuer sur la prise en charge d’une éventuelle opération et de déterminer s’il existe des limitations fonctionnelles supplémentaires ainsi que leurs conséquences sur la capacité résiduelle de travail de l’assuré. La Cour de céans ne saurait se prononcer sur cette problématique, qui, à juste titre, ne fait pas l’objet de la décision sur opposition. L’argumentation du recourant sur ce point, pour autant qu’elle soit recevable, est ainsi mal fondée.</w:t>
      </w:r>
    </w:p>
    <w:p>
      <w:r>
        <w:t>- 29 - b) S’agissant des troubles faisant l’objet de la décision querellée, on relèvera qu’il ressort du rapport du Dr H.________ faisant suite à son examen du 2 mars 2016 que la situation du recourant sur le plan médical était stabilisée. D’un point de vue thérapeutique, le pied gauche était considéré comme bien remis et il n’y avait rien à envisager. Pour ce qui est de l’épaule droite, même si une intervention pouvait éventuellement entrer en ligne de compte, le recourant ne prévoyait pas de subir une nouvelle opération. Ainsi, c’est à bon droit que la CNA a considéré que la situation médicale de l’assuré était stabilisée et qu’elle a procédé à l’examen du droit à la rente et à l’IPAI. 8. a) Le recourant conteste également l’appréciation de la capacité résiduelle de travail telle que réalisée par la CNA, estimant que les conclusions de l’assureur sur ce point sont diamétralement différentes de celles de S.________ et que les conclusions de la J.________ sont trop anciennes, bien que le recourant ait refusé de se soumettre à une nouvelle appréciation de la J.________. b) Or il s’avère que la CNA s’est plutôt H.________ que sur les constatations de la J.________. Ce médecin explique que les limitations fonctionnelles du recourant sont essentiellement les travaux en hauteur. L'atteinte du pied gauche contre-indique surtout les longs trajets mais elle ne devrait pas avoir d'incidence sur une activité légère, de type industriel, exercée à hauteur de table ou d'établi, laquelle reste pleinement exigible, en présence de douleurs modérées - ne nécessitant que des antalgiques mineurs -, et surtout d'une fonction des épaules relativement préservée (cf. rapport du Dr H.________ relatif à l’examen du 2 mars 2016). Le médecin de la CNA prend également position sur les conclusions de S.________, selon lesquelles il faudrait admettre une baisse de rendement de 50% dans une activité adaptée, en expliquant qu’il est précisé en préambule du rapport de stage que l'assuré venait sous la contrainte. Aux termes du rapport, « Il [l’assuré] savait qu'il ne pouvait rien faire et ne voulait pas qu'on lui détruise encore plus les bras. » Pour le</w:t>
      </w:r>
    </w:p>
    <w:p>
      <w:r>
        <w:t>- 30 - Dr H.________, ceci laisse penser que le recourant n’a pas donné toute la mesure de ses possibilités durant ce stage et que l’exigibilité finalement retenue par S.________ ne tient pas suffisamment compte de ces réticences. Au demeurant, on rappellera que les informations recueillies au cours d’un stage,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échant quels travaux on peut encore raisonnablement exiger de lui (TF I 531/04 du 11 juillet 2005 consid. 4.2 ; I 606/01 du 20 mars 2002, consid. 3a ; I 481/00 du 19 juin 2001, consid. 2b). Ainsi, le rôle d’un centre d’observation professionnelle n’est pas de se prononcer sur l’état de santé de la personne concernée et des répercussions d’une éventuelle atteinte à la santé sur l’aptitude au travail (ATF 125 V 256 consid. 4 ; TF 9C_631/2007 du 4 juillet 2008 consid. 4.1). De surcroît, force est de constater que le Dr H.________ a examiné le recourant à trois reprises entre 2014 et 2016, que ses rapports ont été établis non seulement sur la base des pièces au dossier mais également sur les déclarations de l’assuré et sur les constatations cliniques effectuées par ce médecin, et que ses conclusions sont claires et bien étayées. On ne saurait ainsi s’écarter de son appréciation s’agissant de la capacité résiduelle de travail du recourant. En particulier, les avis du Dr K.________ et du Dr M.________ ne permettent pas de remettre en cause l’évaluation du Dr H.________, ces médecins n’indiquant nullement en quoi la position du médecin d’arrondissement de la CNA ne pourrait être suivie. Au contraire, il ressort d’un courrier du conseil de l’assuré à l’OAI du 14 septembre 2016 que selon le Dr M.________, les lésions des épaules et leurs conséquences ont été bien appréhendées par la CNA. Quant au Dr K.________, il considère dans un premier temps que son patient peut « effectuer des activités fines avec les bras en appui sur un plan de travail ou une table, ou effectuer des activités où il s’agit de porter des charges modérées en bas du corps, mais sans devoir les soulever » (cf. son rapport du 13 mai 2015), ce qui est compatible avec le Dr H.________. Puis, dans un rapport du 13 mars 2018, le Dr K.________ déclare que son patient</w:t>
      </w:r>
    </w:p>
    <w:p>
      <w:r>
        <w:t>- 31 - présente quatre lésions arthrosiques douloureuses l’empêchant complètement de travailler. Or il ne fait en définitive que de substituer sa propre appréciation à celle du médecin de la CNA, sans expliquer pour quelle raison il s’en écarte, ce qui n’est pas suffisant pour remettre en doute les conclusions motivées du Dr H.________. c) Quant à l’opinion de la Dresse V.________ sur la question de la capacité résiduelle de travail, elle rejoint en substance celle du Dr H.________. Ce médecin constate en effet qu’il n’y a pas de tuméfaction locale et pas de limitation fonctionnelle au niveau de la cheville gauche et que le recourant ne présente pas de boiterie à la marche (cf. son rapport du 20 septembre 2016). Pour la Dresse V.________, il n’est pas souhaitable que le recourant travaille de façon continue en position debout ou sur un terrain irrégulier. Les limitations fonctionnelles relatives aux épaules sont un travail sans port de charge et sans avoir à lever les bras en hauteur. Autrement dit, les limitations décrites par ce médecin sont tout à fait compatibles avec une activité telle que décrite par le Dr H.________. d) Enfin, on relèvera que la CNA a également soumis l’entier du dossier à la Dresse P.________ afin que cette dernière prenne position sur les troubles de l’épaule droite, puisque l’assureur RC s’était prévalu d’un avis médical selon lequel la problématique de cette articulation n’était pas liée de façon déterminante avec l’accident du mois de juin 2015. Dans son rapport particulièrement fouillé du 8 février 2017, cette dernière a admis l’existence d’un lien de causalité entre la rupture du supra-épineux droit et l’accident du 4 juin 2015. La Dresse P.________ mentionne les limitations fonctionnelles suivantes relatives aux épaules et au pied gauche : travail plutôt sédentaire avec alternance de position debout et assis, évitant les longs trajets et la marche en terrain accidenté, la montée et la descente d'escaliers répétés, le port de charge répété supérieur à 5 kg, et tous les travaux nécessitant l'élévation des bras au- dessus de l'horizontale. Pour la Dresse P.________, le recourant conserve une pleine capacité de travail dans une activité adaptée, respectant les limitations fonctionnelles décrites ci-dessus. Cette appréciation rejoint en substance celle du Dr H.________, qui avait également tenu compte des</w:t>
      </w:r>
    </w:p>
    <w:p>
      <w:r>
        <w:t>- 32 - troubles du pied gauche, mais pour qui ceux-ci ne devaient pas avoir d’incidence sur une activité légère, de type industriel, exercée à hauteur de table ou d'établi, laquelle reste pleinement exigible, en présence de douleurs modérées ne nécessitant que des antalgiques mineurs. Compte tenu de ce qui précède, l’évaluation de la CNA de la capacité de travail du recourant n’est pas critiquable. 9. a) S’agissant du calcul du taux d’invalidité, le recourant n’en conteste pas les modalités. Contrôlé d’office, dit calcul ne prête pas le flanc à la critique. b) Enfin, on relèvera que le recourant a retiré sa conclusion relative à l’IPAI, restreignant son recours à la question de sa capacité résiduelle de travail. Au demeurant, dans la mesure où la fixation de l’IPAI n’a pas fait l’objet d’une contestation dans le cadre de la procédure d’opposition, dite conclusion est irrecevable. Au vu de ce qui précède, le recours doit par conséquent être rejeté et la décision querellée confirmée. 10. a) Le dossier étant complet, permettant ainsi à la Cour de céans de statuer en pleine connaissance de cause, il n'y a pas lieu de donner suite à la mesure d'instruction requise par le recourant, à savoir la mise en œuvre d'une expertise. Contrairement à ce qu’invoque C.________, la situation médicale et la question de la capacité résiduelle de travail ont été instruites à satisfaction par la CNA. Une expertise médicale ne serait ainsi pas de nature à modifier les considérations qui précèdent, les faits pertinents ayant pu être constatés à satisfaction de droit (appréciation anticipée des preuves ; cf. consid. 6b). 11. a) La procédure étant gratuite (art. 61 let. a LPGA), il n'y a pas lieu de percevoir de frais judiciaires. Au vu de l'issue du litige, le recourant, qui succombe, n'a pas droit à des dépens (art. 61 let. g LPGA).</w:t>
      </w:r>
    </w:p>
    <w:p>
      <w:r>
        <w:t>- 33 - b)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Olivier Carré a fixé à 12.06 heures le temps consacré à ce dossier, ses débours se montant à 150 francs. C’est ainsi un montant 2'170 fr. 80 (12.06 x tarif horaire de 180 fr.) qui doit être reconnu à titre d’honoraires pour les opérations effectuées, plus la TVA à 8% d’un montant de 173 fr. 65. Au demeurant, l'avocat d'office a droit au remboursement de tous les débours qui s'inscrivent raisonnablement dans l'exécution de sa tâche (ATF 122 I 1 consid. 3a). En l'occurrence, c'est un montant de 150 fr., TVA 8 % en sus, qui doit être reconnu à ce titre. L'indemnité d'office doit ainsi être fixée à 2'506 fr. 45. La rémunération du conseil d’office est provisoirement supportée par le canton, le recourant étant rendu attentif au fait qu’il est tenu de rembourser ce montant dès qu’il est en mesure de le faire (art. 123 al. 1 CPC par renvoi de l’art. 18 al. 5 LPA-VD). Il incombe au Service juridique et législatif de fixer les modalités de remboursement (art. 5 RAJ [règlement cantonal vaudois du 7 décembre 2010 sur l’assistance judiciaire en matière civile ; RS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