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ZA17.019921 vom 9. Januar 2018</w:t>
      </w:r>
    </w:p>
    <w:p>
      <w:r>
        <w:t>VD Tribunal cantonal, 2018-01-09, FR</w:t>
      </w:r>
    </w:p>
    <w:p>
      <w:r>
        <w:rPr>
          <w:b/>
        </w:rPr>
        <w:t xml:space="preserve">Quelle: </w:t>
      </w:r>
      <w:r>
        <w:t>https://mcp.opencaselaw.ch/entscheid/vd_gerichte_ZA17.019921</w:t>
      </w:r>
    </w:p>
    <w:p>
      <w:r>
        <w:t>FR: VD_GERICHTE ZA17.019921 du 9 janvier 2018</w:t>
      </w:r>
    </w:p>
    <w:p>
      <w:r>
        <w:t>IT: VD_GERICHTE ZA17.019921 del 9 gennaio 2018</w:t>
      </w:r>
    </w:p>
    <w:p>
      <w:pPr>
        <w:pStyle w:val="Heading2"/>
      </w:pPr>
      <w:r>
        <w:t>Erwägungen</w:t>
      </w:r>
    </w:p>
    <w:p>
      <w:r>
        <w:rPr>
          <w:b/>
        </w:rPr>
        <w:t>E. 7</w:t>
      </w:r>
    </w:p>
    <w:p>
      <w:r>
        <w:t>a) En définitive, la T.________ SA n’a pas violé le droit fédéral en refusant la prise en charge des prestations au-delà du printemps 2016, dont l’opération du 7 novembre 2016. b) Mal fondé, le recours doit en conséquence être rejeté, ce qui entraîne la confirmation de la décision attaquée.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