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ZA17.013217 vom 15. März 2018</w:t>
      </w:r>
    </w:p>
    <w:p>
      <w:r>
        <w:t>VD Tribunal cantonal, 2018-03-15, FR</w:t>
      </w:r>
    </w:p>
    <w:p>
      <w:r>
        <w:rPr>
          <w:b/>
        </w:rPr>
        <w:t xml:space="preserve">Quelle: </w:t>
      </w:r>
      <w:r>
        <w:t>https://mcp.opencaselaw.ch/entscheid/vd_gerichte_ZA17.013217</w:t>
      </w:r>
    </w:p>
    <w:p>
      <w:r>
        <w:t>FR: VD_GERICHTE ZA17.013217 du 15 mars 2018</w:t>
      </w:r>
    </w:p>
    <w:p>
      <w:r>
        <w:t>IT: VD_GERICHTE ZA17.013217 del 15 marzo 2018</w:t>
      </w:r>
    </w:p>
    <w:p>
      <w:pPr>
        <w:pStyle w:val="Heading2"/>
      </w:pPr>
      <w:r>
        <w:t>Erwägungen</w:t>
      </w:r>
    </w:p>
    <w:p>
      <w:r>
        <w:rPr>
          <w:b/>
        </w:rPr>
        <w:t>E. 14</w:t>
      </w:r>
    </w:p>
    <w:p>
      <w:r>
        <w:t>au 15 juin 2017, par lequel la Dresse JK.________, médecin assistante au Service des Urgences du Département des centres interdisciplinaires et logistique médicale du DF.________, a écrit ce qui suit : « […] Anamnèse Patient de 52 ans, qui présente hier des vertiges (sensations que le monde tourne), un acouphène oreilles ddc, céphalée diffuse comme des piqûres 5/10 et une diplopie qui a cédée [sic] seule avec sensation de brûlure dans les yeux. Ressent aussi une douleur comme de l’électricité dans l’hémicorps D (très souvent depuis</w:t>
      </w:r>
    </w:p>
    <w:p>
      <w:r>
        <w:t>- 27 - accident 2015). Va à la pharmacie pour prendre la TA [tension artérielle] qui était élevée, les pharmaciens appellent donc une ambulance. Tous ses symptômes se présentent souvent (2-3 épisodes par semaine) depuis 2015 suite à l’accident, déjà discuté avec MT [médecin traitant] d’après le patient sans solution trouvée. Dit être très compliant avec son ttt [traitement] anti-HTA [hypertension artérielle]. Pas d’EF [état fébrile]. Pas de chute ou trauma récent. […] Traitement à la sortie Continuer le traitement habituel Suites de prise en charge Suivi par le MT. Nous lui proposons d’adapter les doses du traitement anti-HTA. »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w:t>
      </w:r>
    </w:p>
    <w:p>
      <w:r>
        <w:t>- 28 - 2.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l’espèce, est litigieux le droit du recourant à des prestations de l’intimée au-delà du 28 février 2017, particulièrement le droit à une rente. 3. A titre liminaire, le recourant se prévaut d’un grief de nature formelle, à savoir celui de violation de son droit d’être entendu en ce sens que son dossier ne comporterait aucun examen neurologique complet. La violation de ce droit entraîne en principe l’annulation de la décision attaquée, indépendamment des chances de succès du recours au fond (ATF 142 II 218 consid. 2.8.1 ; 142 III 360 consid. 4.1.4 ; 137 I 195 consid. 2.2), de sorte que l’existence d’une telle violation doit normalement être déterminée à titre préalable. Cependant, le grief du recourant se confondant en l’occurrence avec le fond, il sera analysé ci- après en même temps que celui d’une instruction incorrectement menée dont l’intéressé se plaint également. 4. 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w:t>
      </w:r>
    </w:p>
    <w:p>
      <w:r>
        <w:t>- 29 - b/aa) Selon la jurisprudence relative aux prestations accordées au sens de la LAA en cas d’accident professionnel et non professionnel,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Si l’existence d’un rapport de cause à effet entre l’accident et le dommage paraît possible, mais qu’elle ne peut être qualifiée de probable dans le cas particulier, le droit à des prestations fondées sur l’accident assuré doit être nié (ATF 129 V 177 consid. 3.1 ; 119 V 335 consid. 1 ; 118 V 286 consid. 1b ; TF 8C_414/2011 du 2 avril 2012 consid. 3.1). Lorsqu’un état maladie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8C_551/2012 du 26 juin 2013 consid. 2 ; 8C_552/2007 du 19 février 2008 consid. 2). A contrario, aussi longtemps</w:t>
      </w:r>
    </w:p>
    <w:p>
      <w:r>
        <w:t>- 30 -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(raisonnement post hoc, ergo propter hoc ; ATF 119 V 335 consid. 2b/bb ; TF 8C_347/2013 du 18 février 2014 consid. 2.2). Il convient en principe d’en rechercher l’étiologie et de vérifier, sur cette base, l’existence du rapport de causalité avec l’événement assuré (TF 8C_262/2008 du 11 février 2009 consid. 2.2). bb)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cc)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179/03 du 7 juillet 2004 consid. 4.4.2 ; U 282/06 du 4 juin 2007 consid. 3.3 ; RAMA 2000 n° U 363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w:t>
      </w:r>
    </w:p>
    <w:p>
      <w:r>
        <w:t>- 31 -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 8C_677/2007 du 4 juillet 2008 consid. 2.3.2). c/aa) Outre un lien de causalité naturelle, le droit à des prestations de l’assurance-accidents suppose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129 V 402 consid. 2.2 ; 125 V 456 consid. 5a et réf. cit. ; TF 8C_560/2015 du 29 avril 2016 consid. 3.1). bb) Dans le domaine de l’assurance-accidents obligatoire, cependant, en cas d’atteinte à la santé physique, la causalité adéquate se recoupe largement avec la causalité naturelle, de sorte qu’elle ne joue pratiquement pas de rôle (ATF 138 V 248 consid. 4 ; 127 V 102 consid. 5b/bb ; 118 V 286 consid. 3a ; TF 8C_220/2016 du 10 février 2017 consid. 7.3 ; 8C_726/2008 du 14 mai 2009 consid. 2.1).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cc) Il en va différemment lorsqu’il convient de juger du caractère adéquat du lien de causalité entre un accident et une affection psychique additionnelle à une atteinte à la santé physique, la jurisprudence ayant dégagé des critères objectifs pour juger d’un tel lien (ATF 129 V 402 consid. 4.4.1 ; TF 8C_464/2014 du 17 juillet 2015 consid. 5.1 ; 8C_651/2014 du 31 août 2015 consid. 6.1).</w:t>
      </w:r>
    </w:p>
    <w:p>
      <w:r>
        <w:t>- 32 - Dans ce cas,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8C_804/2014 du 16 novembre 2015 consid. 4.1 ; 8C_651/2014 du 31 août 2015 consid. 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w:t>
      </w:r>
    </w:p>
    <w:p>
      <w:r>
        <w:t>- 33 -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susmentionnés ou au moins que l’un des critères retenus se soit manifesté de manière particulièrement marquante pour l’accident. En revanche, en présence d’un accident apparaissant comme l’un des plus graves de la catégorie intermédiaire, à la limite de la catégorie des accidents graves, un seul des sept critères peut être suffisant.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 TF 8C_804/2014 du 16 novembre 2015 consid. 4.1 ; 8C_651/2014 du 31 août 2015 consid. 6.1). dd) On ajoutera qu’il est admissible de laisser la question de la causalité naturelle ouverte lorsque ce lien ne pourrait de toute façon pas être qualifié d’adéquat (ATF 135 V 465 consid. 5.1 ; TF 8C_685/2015 du 13 septembre 2016 consid. 4.2 ; 8C_434/2013 du 7 mai 2014 consid. 7.1). d) La responsabilité de l’assureur-accidents s’étend, en principe, à toutes les conséquences dommageables qui se trouvent dans un rapport de causalité naturelle et adéquate avec l’événement assuré. Les prestations d’assurance sont dont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w:t>
      </w:r>
    </w:p>
    <w:p>
      <w:r>
        <w:t>- 34 -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réf. cit. ; TF 8C_533/2013 du 28 avril 2014 consid. 3.2 ; 8C_596/2007 du 4 février 2008 consid. 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réf. cit. ; TF 8C_69/2012 du 18 septembre 2012 consid. 2).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w:t>
      </w:r>
    </w:p>
    <w:p>
      <w:r>
        <w:t>- 35 -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6. En l’espèce, le recourant estime avoir droit à des prestations de la part de l’intimée, notamment une rente, du fait de différentes atteintes à sa santé, qu’il met en lien avec les accidents qu’il a eus dans la première moitié de la décennie 1990 et, particulièrement, avec celui du</w:t>
      </w:r>
    </w:p>
    <w:p>
      <w:r>
        <w:rPr>
          <w:b/>
        </w:rPr>
        <w:t>E. 18</w:t>
      </w:r>
    </w:p>
    <w:p>
      <w:r>
        <w:t>novembre 2015, pouvant ainsi donner lieu à des prestations, et seules les limitations fonctionnelles en découlant, consistant en le fait de devoir éviter le port de lourdes charges ainsi que les activités très répétitives et en force avec la main droite, doivent être retenues. 7. a/aa) L’assuré a droit au traitement médical approprié des lésions résultant de l’accident (art. 10 al. 1 LAA) et à une indemnité journalière s’il est totalement ou partiellement incapable de travailler à la suite d’un accident (art. 16 al. 1 LAA).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w:t>
      </w:r>
    </w:p>
    <w:p>
      <w:r>
        <w:t>- 43 -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bb)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w:t>
      </w:r>
    </w:p>
    <w:p>
      <w:r>
        <w:t>- 44 - 129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 accidents obligatoire, in Schweizerisches Bundesverwaltungsrecht [SBVR], 3e éd., Bâle 2016, n° 236 – 241).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b/aa) En l’espèce, le recourant fait valoir qu’il n’a nullement recouvré sa pleine capacité de travail et de gain, ne pouvant utiliser</w:t>
      </w:r>
    </w:p>
    <w:p>
      <w:r>
        <w:t>- 45 - correctement ses membres supérieurs, ressentant de profondes douleurs dans les régions capitales, cervicales, dorsales lombaires et brachiales D’emblée, il doit être précisé que, par suite de ce qui a été retenu ci-dessus (cf. consid. 6c supra), seules les limitations physiques découlant de l’atteinte au poignet droit doivent en l’état être analysées. Or, aucun document médical au dossier ne permet de soutenir que l’état de santé du recourant ne pouvait être considéré comme stabilisé – en application de l’art. 19 al. 1 LAA – à la date du 28 février 2017 s’agissant de la fracture du poignet droit. Plus exactement, aucun médecin ne préconise la poursuite d’un traitement médical susceptible d’apporter une sensible amélioration de l’état de santé de l’intéressé : le rapport du Dr L.________ du 9 février 2017 mentionne une fracture du radius distal consolidée et traitée conservativement et les Drs X.________ et KW.________ indiquent dans leur rapport du 2 mars 2017 qu’ils n’ont plus de proposition thérapeutique. La permanence de douleurs ne suffit pas à considérer que l’état de santé n’est pas stabilisé. Seule est déterminante l’appréciation médicale et, en l’occurrence, il peut être déduit de l’absence de proposition de traitement que, thérapeutiquement, il n’y a plus à attendre d’amélioration au niveau du poignet droit. C’est ainsi à juste titre que l’intimée a mis fin au paiement des soins médicaux et de l’indemnité journalière avec effet au 28 février 2017. bb) L’intimée a alors analysé le droit du recourant à percevoir une rente. L’intéressé ne conteste pas le revenu sans invalidité retenu par l’intimée. Celui-ci, établi en tenant compte d’un salaire horaire de 23 fr. pour un temps de travail hebdomadaire de quarante-cinq heures, a ainsi été arrêté à juste titre à un montant annuel de 53'820 francs (23 x 45 x 52 [semaines par année]). En contestant avoir recouvré sa pleine capacité de travail et de gain, le recourant conteste cependant implicitement le revenu d’invalide retenu par l’intimée.</w:t>
      </w:r>
    </w:p>
    <w:p>
      <w:r>
        <w:t>- 46 - En l’occurrence, celui-ci a été déterminé par l’intimée sur la base de DPT. Dans la mesure où, tel que susmentionné, seule l’atteinte au poignet droit consécutive à l’accident du 18 novembre 2015 engage la responsabilité de l’intimée, à l’exclusion des autres atteintes dont se prévaut l’intéressé, le bien-fondé du choix des DPT ne doit donc être évalué qu’à la lumière des limitations engendrées par cette atteinte, soit le fait de devoir éviter le port de lourdes charges ainsi que les activités très répétitives et en force avec la main droite. L’intimée a déterminé le revenu d’invalide sur la base de cinq DPT (n° [...], [...], [...], [...] et [...]), pour des postes de chauffeur-livreur, employé d’horlogerie, aide-mécanicien, employé à l’exploitation des ordures et collaborateur de production, dont la moyenne des salaires correspondait à un revenu annuel moyen de 56'777 fr. 20. Les conditions imposées par la jurisprudence en matière de DPT et les limitations fonctionnelles mises en évidence par les Drs K.________ et D.________ et confirmées par le Dr Z.________ ayant été respectées, il convient de valider le revenu avec invalidité retenu par l’intimée. Après comparaison des revenus sans (53'820 fr.) et avec invalidité (56'777 fr. 20), on constate, avec l’intimée, que le recourant ne subit aucune incapacité de gain, de sorte qu’une rente ne saurait lui être octroyée. 8. A toutes fins utiles, il est relevé que l’intéressé ne conteste pas – en procédure de recours – le montant de l’indemnité pour atteinte à l’intégrité que l’intimée lui a reconnue, laquelle ne prête au demeurant pas le flanc à la critique. 9. Dans le cadre de son argumentation, le recourant se plaint encore d’une instruction incorrectement menée et d’une violation de son droit d’être entendu en ce sens que son dossier ne comporte aucun examen neurologique complet, contrairement à ce qu’aurait recommandé le Dr F.________ de la R.________ le 9 juin 2016.</w:t>
      </w:r>
    </w:p>
    <w:p>
      <w:r>
        <w:t>- 47 -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 TF 9C_718/2015 du 22 mars 2016 consid. 5.2). La violation de la maxime inquisitoire (ou, autrement dit, du devoir d’administrer les preuves nécessaires) n’a pas une portée absolue.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(ATF 125 V 351 consid. 3a), que certains faits présentent un degré de vraisemblance prépondérante et que d’autres mesures probatoires ne pourraient plus modifier cette appréciation (sur l’appréciation anticipée des preuves ATF 131 I 153 consid. 3 ; 130 II 425 consid. 2) (TF 8C_660/2015 du 24 février 2016 consid 4.1). b) En l’espèce, il convient de relever qu’une analyse neurologique avait précisément déjà été effectuée par le neurologue N.________ le 14 avril 2016. Au vu de la teneur du consilium du 9 juin 2016, spécifiquement de sa rubrique imagerie, le Dr F.________ n’en avait manifestement pas connaissance. Du reste, compte tenu de l’intervalle de deux mois séparant ces deux rapports médicaux, un nouvel examen</w:t>
      </w:r>
    </w:p>
    <w:p>
      <w:r>
        <w:t>- 48 - neurologique mis en œuvre dans les suites de la recommandation du Dr F.________ n’aurait certainement pas abouti à un résultat différent de celui découlant de l’analyse opérée par le Dr N.________. En outre, aucun des médecins, notamment spécialiste de la main, ayant examiné le recourant ultérieurement au Dr F.________ n’a recommandé une nouvelle analyse neurologique. A cet égard, il est constaté que les Drs K.________ et D.________ de la R.________, dans leur rapport de synthèse du 23 juin 2016, ont – sur la base de tous les rapports, soit notamment le consilium du 9 juin 2016 du Dr F.________ (cf. rubrique bilans et investigations) – estimé qu’il n’y avait rien à relever sur le plan neurologique, rappelant à ce sujet le rapport du Dr N.________ du 14 avril 2016. Ils n’ont donc pas estimé qu’il était nécessaire de mettre en œuvre une nouvelle analyse neurologique comme recommandée par le Dr F.________. Compte tenu de ce qui précède, l’intimée était par conséquent légitimée à considérer, déjà au stade de la décision litigieuse, que la situation médicale était exhaustivement instruite sur le plan neurologique, ce que n’a fait que confirmer l’appréciation médicale sollicitée en cours d’instruction judiciaire par l’intimée et rendue le 17 mai 2017 par le Dr I.________. Partant, les griefs tirés d’une instruction menée incorrectement et d’une violation du droit d’être entendu doivent être rejetés. 10. 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des frais judicaires.</w:t>
      </w:r>
    </w:p>
    <w:p>
      <w:r>
        <w:t>- 49 - N’obtenant pas gain de cause, le recourant n’a pas droit à des dépens, pas plus que l’intimée en sa qualité d’assureur social (art. 61 let. g LPGA ; ATF 127 V 205). Le recourant bénéficie en outre, au titre de l’assistance judiciaire, de la commission d’office d’un avocat en la personne de Me Alessandro Brenci (art. 118 al. 1 let. c CPC [code fédéral de procédure civile du 19 décembre 2008 ; RS 272], applicable par renvoi de l’art. 18 al. 5 LPA-VD). Ce dernier a produit une liste de ses opérations, datée du</w:t>
      </w:r>
    </w:p>
    <w:p>
      <w:r>
        <w:rPr>
          <w:b/>
        </w:rPr>
        <w:t>E. 21</w:t>
      </w:r>
    </w:p>
    <w:p>
      <w:r>
        <w:t>août 2017 et totalisant 9 heures et 40 minutes. Vérifiée d’office, cette liste doit être approuvée. L’indemnité d’office sera dès lors fixée à 1'938 fr. 60 (débours par 55 fr. et TVA par 143 fr. 60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