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ZA17.012969 vom 11. Dezember 2017</w:t>
      </w:r>
    </w:p>
    <w:p>
      <w:r>
        <w:t>VD Tribunal cantonal, 2017-12-11, FR</w:t>
      </w:r>
    </w:p>
    <w:p>
      <w:r>
        <w:rPr>
          <w:b/>
        </w:rPr>
        <w:t xml:space="preserve">Quelle: </w:t>
      </w:r>
      <w:r>
        <w:t>https://mcp.opencaselaw.ch/entscheid/vd_gerichte_ZA17.012969</w:t>
      </w:r>
    </w:p>
    <w:p>
      <w:r>
        <w:t>FR: VD_GERICHTE ZA17.012969 du 11 décembre 2017</w:t>
      </w:r>
    </w:p>
    <w:p>
      <w:r>
        <w:t>IT: VD_GERICHTE ZA17.012969 del 11 dicembre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w:t>
      </w:r>
    </w:p>
    <w:p>
      <w:r>
        <w:t>- 7 -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Les décisions portant sur l’ordonnancement de la procédure – au sens de décisions incidentes (Thierry Tanquerel, Manuel de droit administratif, Genève/Zurich/Bâle 2011, n. 828, p. 284 s ; Ueli Kieser, ATSG-Kommentar, 3e éd., Zurich/Bâle/Genève 2015, n. 46 ad art. 52 LPGA, p. 691) – ne peuvent pas être attaquées par voie d’opposition (art. 52 al. 1 LPGA), de sorte qu’elles sont directement attaquables par la voie du recours devant les tribunaux des assurances institués par les cantons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138 V 271 consid. 1 et 137 V 210 consid. 3.4.2.6 et 3.4.2.7).</w:t>
      </w:r>
    </w:p>
    <w:p>
      <w:r>
        <w:t>- 8 - c) En l’espèce, déposé en temps utile auprès du tribunal compétent, le recours satisfait en outre aux autres conditions légales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est litigieuse la question du mandat d’expertise confié au Dr K.________ selon décision du 21 février 2017 de G.________.</w:t>
      </w:r>
    </w:p>
    <w:p>
      <w:r>
        <w:rPr>
          <w:b/>
        </w:rPr>
        <w:t>E. 3</w:t>
      </w:r>
    </w:p>
    <w:p>
      <w:r>
        <w:t>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w:t>
      </w:r>
    </w:p>
    <w:p>
      <w:r>
        <w:t>- 9 -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Georg Müller et al. [édit.], Staatsorganisation und Staatsfunktionen im Wandel, Bâle 1982, p.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(ATF 138 V 318) et pour les expertises mono- et bidisciplinaires (ATF 139 V 349). c) Le droit d’être entendu, tel qu’il est garanti par l’art. 29 al. 2 Cst.,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(ATF 135 V 465 consid. 4.3.2, 133 I 270 consid. 3.1 et 132 V 368 consid. 3.1; TF 8C_816/2014 du 26 octobre 2015 consid. 3.2).</w:t>
      </w:r>
    </w:p>
    <w:p>
      <w:r>
        <w:t>- 10 -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w:t>
      </w:r>
    </w:p>
    <w:p>
      <w:r>
        <w:rPr>
          <w:b/>
        </w:rPr>
        <w:t>E. 4</w:t>
      </w:r>
    </w:p>
    <w:p>
      <w:r>
        <w:t>a)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w:t>
      </w:r>
    </w:p>
    <w:p>
      <w:r>
        <w:t>- 11 -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w:t>
      </w:r>
    </w:p>
    <w:p>
      <w:r>
        <w:t>- 12 - pas reposer sur les seules impressions de l’expertisé, la méfiance à l’égard de l’expert devant au contraire apparaître comme fondée sur des éléments objectifs (ATF 132 V 93 consid. 7.1 ; TF 8C_531/2014 du 23 janvier 2015 consid. 6 et 9C_689/2012 du 6 juin 2013 consid. 2.2). b)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sauvegarder les intérêts légitimes de celui-ci (ATF 119 V 456 consid. 5c et 115 V 257 consid. 5c). Toutefois,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w:t>
      </w:r>
    </w:p>
    <w:p>
      <w:r>
        <w:rPr>
          <w:b/>
        </w:rPr>
        <w:t>E. 5</w:t>
      </w:r>
    </w:p>
    <w:p>
      <w:r>
        <w:t>a) En l'espèce, le recourant soutient tout d’abord que le Dr K.________ dispose de liens étroits avec les différentes assurances et plus particulièrement les assureurs-accidents, ce qui donne une apparence de prévention et constitue un motif de récusation.</w:t>
      </w:r>
    </w:p>
    <w:p>
      <w:r>
        <w:t>- 13 - Il ne peut toutefois être suivi. En effet, comme exposé ci- dessus (consid. 4b supra),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l’entier de ses revenus. L'intéressé n'apporte par ailleurs aucun autre élément permettant de faire naître un doute quant à l’impartialité ou l’indépendance du Dr K.________, qui n’est au demeurant pas le médecin- conseil de l’intimée et dispose d'une totale liberté s'agissant des modalités de l'expertise. Il n’existe dès lors aucun motif formel de récusation à l’encontre de ce médecin. b) Dans un deuxième moyen, le recourant fait valoir que le Dr K.________ n’a pas les qualifications nécessaires pour se prononcer sur les questions litigieuses, dans la mesure où il n’est pas spécialiste en chirurgie de la main, et que sa nomination contrevient à l’arrêt de renvoi du 1er septembre 2016 de la Cour de céans et au droit applicable. A cet égard, on relèvera que le Dr K.________ est spécialiste en chirurgie orthopédique et traumatologie de l'appareil locomoteur, ce qui paraît adéquat compte tenu des circonstances du cas d’espèce. Détenteur de cette spécialité depuis 1990, il dispose d’une solide expérience dans le domaine. Il a aussi l'habitude d'effectuer des expertises médico- assécurologiques. Aucun élément au dossier ne permet en outre à ce stade de faire craindre que l’expertise du Dr K.________ sera lacunaire ou entachée d’un autre vice susceptible de remettre en cause sa valeur probante. La Cour de céans observe par ailleurs que dans son arrêt de renvoi du 1er septembre 2016 ordonnant la mise en œuvre d'une expertise médicale, elle n'a pas spécifié que l’expert à désigner devait être un spécialiste de la chirurgie de la main, contrairement à ce qu’allègue le recourant. Dans ce contexte, on ne voit pas en quoi la désignation du Dr K.________ en qualité d’expert violerait le droit applicable ou l'arrêt AA 106/14 - 91/2016 de la Cour de céans. Partant, il faut également exclure tout motif matériel de récusation à l’encontre de ce médecin.</w:t>
      </w:r>
    </w:p>
    <w:p>
      <w:r>
        <w:t>- 14 - c) Enfin, le recourant conteste la désignation du Dr K.________, au motif que celle-ci n’a pas été effectuée de manière consensuelle.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respectivement que seule pouvait être sanctionnée juridiquement la violation des droits de participation tels que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En l’occurrence, il n’est pas critiquable que l’intimée ait présélectionné les Drs K.________ et J.________, tous deux spécialistes en chirurgie orthopédique et traumatologie de l'appareil locomoteur au bénéfice d’une longue expérience professionnelle. G.________ avait donc de bons motifs pour ne pas entrer en matière sur la demande du recourant de choisir parmi les trois noms d’experts produits par lui. En l’absence de consensus sur le choix de l’expert, il appartenait à juste titre à l’intimée de statuer par une décision incidente, sans qu’un nouvel échange à ce propos ne soit nécessaire. Au surplus, les droits de participation du recourant au sens de l’art. 44 LPGA ont été respectés, ce dernier ayant eu notamment l’occasion à la suite du courrier du 19 décembre 2016 de G.________, d’exposer ses motifs de récusation. Il a d’ailleurs fait usage de ce droit le 9 janvier 2017. d) Au vu de ce qui précède, il apparaît que les motifs invoqués par le recourant pour fonder sa demande de récusation de l’expert K.________ ne sont pas suffisants. Faute d'éléments concrets propres à mettre en doute la probité de ce médecin ou sa capacité à effectuer une</w:t>
      </w:r>
    </w:p>
    <w:p>
      <w:r>
        <w:t>- 15 - expertise probante, c’est à raison que G.________ a nié tout motif de récusation de cet expert.</w:t>
      </w:r>
    </w:p>
    <w:p>
      <w:r>
        <w:rPr>
          <w:b/>
        </w:rPr>
        <w:t>E. 6</w:t>
      </w:r>
    </w:p>
    <w:p>
      <w:r>
        <w:t>On relèvera encore que le droit d’être entendu du recourant n’a pas été violé dans la mesure où, par courrier du 19 décembre 2016, dans le respect de l’art. 44 LPGA, G.________ lui a non seulement transmis l’identité des deux experts pressentis afin qu’il puisse se déterminer à ce propos, mais lui a également donné l’occasion de présenter des questions complémentaires à l’attention de l’expert. Le fait qu’il ait choisi de ne pas faire part de ses suggestions d’amendement avant la nomination de l’expert – pour une raison qui échappe à la Cour de céans – n’y change rien. Le recourant aura en outre la possibilité de poser des questions complémentaires à réception du rapport d’expertise du Dr K.________ (TF 9C_881/2009 du 1er juin 2010 consid. 3.2). Par conséquent, il n’y a pas lieu d'impartir à l'intéressé un délai supplémentaire pour se déterminer et/ou faire des propositions d’amendement du questionnaire établi par G.________ à l’attention de l’expert.</w:t>
      </w:r>
    </w:p>
    <w:p>
      <w:r>
        <w:rPr>
          <w:b/>
        </w:rPr>
        <w:t>E. 7</w:t>
      </w:r>
    </w:p>
    <w:p>
      <w:r>
        <w:t>a) En définitive, le recours doit être rejeté et la décision incidente litigieuse confirmée. b) La procédure étant gratuite (art. 61 let. a LPGA), il n’y a pas lieu de percevoir de frais judiciaires. c) Le recourant, qui n’obtient pas gain de cause, n’a pas droit à des dépens. Par ailleurs, quoique l’intimée obtienne gain de cause, elle ne saurait prétendre à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