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ZA17.012076 vom 9. Mai 2018</w:t>
      </w:r>
    </w:p>
    <w:p>
      <w:r>
        <w:t>VD Tribunal cantonal, 2018-05-09, FR</w:t>
      </w:r>
    </w:p>
    <w:p>
      <w:r>
        <w:rPr>
          <w:b/>
        </w:rPr>
        <w:t xml:space="preserve">Quelle: </w:t>
      </w:r>
      <w:r>
        <w:t>https://mcp.opencaselaw.ch/entscheid/vd_gerichte_ZA17.012076</w:t>
      </w:r>
    </w:p>
    <w:p>
      <w:r>
        <w:t>FR: VD_GERICHTE ZA17.012076 du 9 mai 2018</w:t>
      </w:r>
    </w:p>
    <w:p>
      <w:r>
        <w:t>IT: VD_GERICHTE ZA17.012076 del 9 maggio 2018</w:t>
      </w:r>
    </w:p>
    <w:p>
      <w:pPr>
        <w:pStyle w:val="Heading2"/>
      </w:pPr>
      <w:r>
        <w:t>Erwägungen</w:t>
      </w:r>
    </w:p>
    <w:p>
      <w:r>
        <w:rPr>
          <w:b/>
        </w:rPr>
        <w:t>E. 18</w:t>
      </w:r>
    </w:p>
    <w:p>
      <w:r>
        <w:t>novembre 2010 consid. 3). Dans un tel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(ATF 128 V 29 consid. 1). C’est pourquoi la jurisprudence impose, en cas de recours aux DPT, la production d’au moins cinq d’entre elles (ATF 129 V 472 consid. 4.2.2 ; TF 8C_809/2008 du</w:t>
      </w:r>
    </w:p>
    <w:p>
      <w:r>
        <w:rPr>
          <w:b/>
        </w:rPr>
        <w:t>E. 19</w:t>
      </w:r>
    </w:p>
    <w:p>
      <w:r>
        <w:t>juin 2009 consid. 4.2.2 et 8C_4/2008 du 25 juin 2008 consid. 3.2).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w:t>
      </w:r>
    </w:p>
    <w:p>
      <w:r>
        <w:t>- 28 - est fait référence (ATF 129 V 472). Ces conditions ont été respectées en l’espèce. Selon la jurisprudence, les éventuelles objections de l’assuré sur le choix et sur la représentativité des DPT dans un cas concret doivent être soulevées, en principe, durant la procédure d’opposition (ATF 129 V 472 consid. 4.2.2). Or, en l’occurrence, le recourant n’a pas formulé de réserves au sujet de l’application des DPT au stade de l’opposition, ni d’ailleurs critiqué celles-ci lors de la procédure judiciaire. cc) Il est incontesté que l’ancienne activité d’ouvrier dans le secteur de la construction ne respecte pas les limitations fonctionnelles reconnues au recourant. Le litige porte dès lors sur la question de la capacité de gain résiduelle sur le marché du travail entrant en considération pour lui (art. 16 LPGA), donc sur l’aptitude du recourant à travailler dans une activité adaptée. aaa)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(TFA I 198/97 du 7 juillet 1998 consid. 3b et les références, in Pratique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w:t>
      </w:r>
    </w:p>
    <w:p>
      <w:r>
        <w:t>- 29 - concessions irréalistes et que, de ce fait, il semble exclu de trouver un emploi correspondant (TF 9C_984/2008 du 4 mai 2009 consid. 4.1; TFA I 350/89 du 30 avril 1991 consid. 3b, in RCC 1991 p. 329; I 329/88 du 25 janvier 1989 consid. 4a, in RCC 1989 p. 328). bbb) Le recourant ne critique pas le salaire sans invalidité, ni le montant retenu à titre de salaire avec invalidité sur la base des DPT. De fait, il considère que sur un marché du travail équilibré, il n’existe aucun poste de travail pour une personne ne pouvant poser le pied à terre, souffrant de douleurs importantes des membres inférieurs, se déplaçant avec une canne, sans pouvoir porter de charges ni rester debout ou assis. En premier lieu, il sera rappelé que la CNA a retenu à titre de limitations fonctionnelles une activité partiellement sédentaire n’exigeant pas des déplacements fréquents prolongés ou en terrain irrégulier. A priori, un lien de causalité entre la fracture des métatarses et l’impossibilité, respectivement la restriction de port de charges évoquée par le recourant, est exclue. Il sera observé que médicalement, il n’est pas établi que l’atteinte subie empêcherait le recourant de poser le pied à terre. L’usage régulier d’une canne ne paraît pas vraisemblable et a priori n’empêche pas l’exercice d’une profession assise. Dans le même registre, si l’arthrose et les douleurs au pied gauche entraînent la recommandation d’une profession en position assise, en revanche, l’impossibilité de rester assis ne relève pas de l’atteinte à la charge de la CNA. Cet empêchement résulte en effet manifestement de l’atteinte lombaire, laquelle n’est pas accidentelle. Cela étant, il subsiste suffisamment d’activités sédentaires ou semi-sédentaires, ne requérant pas de compétences professionnelles spécifiques, compatibles avec les limitations fonctionnelles résultant exclusivement de l’accident du 1er juillet 2011, les autres limitations fonctionnelles que pourrait présenter le recourant ne devant pas être prises en compte, faute de lien de causalité avec l’accident litigieux. c) Le taux d’invalidité de 14% résultant de la comparaison des revenus avec et sans invalidité à laquelle a procédé la CNA échappe ainsi à la critique et doit en conséquence être confirmé.</w:t>
      </w:r>
    </w:p>
    <w:p>
      <w:r>
        <w:t>- 30 - 7. Le recourant conteste également le taux de l’indemnité pour atteinte à l’intégrité (ci-après : IPAI), fixé à 17,5% dans la décision attaquée.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[ordonnance du 20 décembre 1982 sur l’assurance-accidents ; RS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(ATF 133 V 224 consid. 5.1 ;</w:t>
      </w:r>
    </w:p>
    <w:p>
      <w:r>
        <w:t>- 31 - 115 V 147 consid. 1 ; 113 V 218 consid. 4b ; TF 8C_812/2010 du 2 mai 2010 consid. 5.2).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 TF 8C_459/2008 du 4 février 2009 consid. 2.3). L'évaluation incombe donc avant tout aux médecins, qui doivent, d'une part, constater objectivement quelles limitations subit l'assuré et, d'autre part, estimer l'atteinte à l'intégrité en résultant (TF 8C_703/2008 du 25 septembre 2009 consid. 5.2). L'annexe 3 de l'OLAA comporte un barème – reconnu conforme à la loi et non exhaustif (ATF 124 V 29 consid. 1b,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 RAMA 1998 n° U 296 p. 235, U 245/96 consid. 2a).</w:t>
      </w:r>
    </w:p>
    <w:p>
      <w:r>
        <w:t>- 32 - b) La table 5 (révision 2011) de la CNA prévoit une IPAI de 15% pour une arthrodèse de l’articulation de Lisfranc. c) Le recourant ne produit aucun document médical s’écartant de l’appréciation du Dr Q.________, laquelle est conforme à la table 5 et respecte l’égalité de traitement propre à cette indemnité. Le recourant se prévaut de ses douleurs pour requérir une indemnité d’un taux supérieur. Il s’agit là d’un élément par définition subjectif dont il ne peut être tenu compte dans ce domaine (cf. sur ce point considérant 4c supra). Quant à la majoration à hauteur de 2,5% pour tenir compte du déficit sensitif pouvant être attribué à une atteinte distale sensitive du nerf péronier gauche, elle ne souffre d’aucune critique. d) Le taux d’atteinte à l’intégrité fixé à 17,5% est dès lors correct, de sorte que le grief formulé par le recourant sur ce point se révèle infondé. 8. En définitive, le recours, mal fondé, doit être rejeté, ce qui entraîne la confirmation de la décision attaquée. 9. a) Par décision du 3 avril 2017, le magistrat instructeur a accordé au recourant le bénéfice de l’assistance judiciaire avec effet au 20 mars 2017 et désigné Me Paul-Arthur Treyvaud en qualité d’avocat d’office (art. 118 al. 1 CPC [code fédéral de procédure civile du 19 décembre 2008 ; RS 272], applicable par renvoi de l’art. 18 al. 5 LPA-VD). Le recourant était exonéré du paiement de frais judiciaires ainsi que de toute franchise mensuelle.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w:t>
      </w:r>
    </w:p>
    <w:p>
      <w:r>
        <w:t>- 33 - juge apprécie l’étendue des opérations nécessaires pour la conduite du procès. b) Le 20 septembre 2017, Me Treyvaud a produit le relevé des opérations effectuées dans le cadre de la présente procédure. Il a annoncé un total de 6 heures et 55 minutes. Quant au montant des débours facturés, il s’élevait à 52 fr. 80. Son activité a été contrôlée au regard de la conduite du procès et rentre globalement dans le cadre de l’accomplissement du mandat confié, de sorte qu’elle doit être arrêtée à 6 heures et 55 minutes, au tarif horaire de 180 fr. pour un avocat breveté (art. 2 al. 1 let. a RAJ). Ainsi, Me Treyvaud a droit à un montant de 1'401 fr. 60, TVA au taux de 8% comprise,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 et 55 LPA-VD).</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