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ZA17.005060 vom 4. Juli 2022</w:t>
      </w:r>
    </w:p>
    <w:p>
      <w:r>
        <w:t>VD Tribunal cantonal, 2022-07-04, FR</w:t>
      </w:r>
    </w:p>
    <w:p>
      <w:r>
        <w:rPr>
          <w:b/>
        </w:rPr>
        <w:t xml:space="preserve">Quelle: </w:t>
      </w:r>
      <w:r>
        <w:t>https://mcp.opencaselaw.ch/entscheid/vd_gerichte_ZA17.005060</w:t>
      </w:r>
    </w:p>
    <w:p>
      <w:r>
        <w:t>FR: VD_GERICHTE ZA17.005060 du 4 juillet 2022</w:t>
      </w:r>
    </w:p>
    <w:p>
      <w:r>
        <w:t>IT: VD_GERICHTE ZA17.005060 del 4 luglio 2022</w:t>
      </w:r>
    </w:p>
    <w:p>
      <w:pPr>
        <w:pStyle w:val="Heading2"/>
      </w:pPr>
      <w:r>
        <w:t>Erwägungen</w:t>
      </w:r>
    </w:p>
    <w:p>
      <w:r>
        <w:rPr>
          <w:b/>
        </w:rPr>
        <w:t>E. 26</w:t>
      </w:r>
    </w:p>
    <w:p>
      <w:r>
        <w:t>juillet 2003, la CNA a mandaté le Dr H.________, spécialiste en psychiatrie et psychothérapie, en sa qualité de médecin conseil. Ce praticien a examiné le recourant à deux reprises, soit les 27 novembre 2008 et 13 juillet 2010, retenant le diagnostic d’épisode dépressif moyen sans syndrome somatique ainsi que celui d‘état des stress post-</w:t>
      </w:r>
    </w:p>
    <w:p>
      <w:r>
        <w:t>- 14 - traumatique – dont les critères n’étaient plus réalisés en 2010 – et de personnalité émotionnellement labile, type borderline (cf. pièces 58 et 69 du dossier de la CNA relatif à l’accident du 26 juillet 2003). Dans son rapport du 27 novembre 2008, le Dr H.________ expose ce qui suit (sic) : « […] Appréciation Cet assuré présente des troubles psychiques graves qui handicapent progressivement de plus en plus lourdement sa capacité de travail. Cet assuré présente un état de stress post-traumatique avec des troubles du sommeil, une hypervigilance, des comportements d'évitement et une irritabilité. Il présente également un trouble thymique avec une aboulie, une asthénie, un sentiment de fatigue, une irritabilité et des troubles de l'appétit. Ces troubles psychiques sont en lien de causalité naturelle avec l'agression dont il a été victime le 26 juillet 2003. En effet, c'est en raison du risque vital qu'il a couru à ce moment-là que se sont développés tous les symptômes qu'il présente aujourd'hui. Le fait frappant est l'incapacité de l'assuré à se décentrer de cet événement. Il le rumine encore constamment aujourd'hui. Il se sent victime, certes mais il est surtout en colère contre ses agresseurs et contre le sort. Les troubles psychiques que présente cet assuré sont partiellement en relation de causalité avec l'agression dont il a été victime le 26 juillet 2003. En effet, le comportement de l'assuré est empreint de traits de personnalité phobiques et caractériels qui sont sans lien avec l'événement traumatique. Néanmoins sans l'événement traumatique, il est vraisemblable que l'assuré serait à même de travailler de manière plus régulière. En conséquence, je crains que l'aggravation actuelle de l'état de santé de l'assuré n'est pas transitoire et circonstancielle. En raison de sa structure de personnalité, mais vraisemblablement également de troubles psychiques antérieurs, l'assuré est incapable de dépasser le traumatisme dont il été victime. Le sentiment d’injustice ne peut que croître et la colère gronder. Exigibilité L'assuré est totalement incapable de travailler depuis le 1er septembre 2008 et jusqu'à ce jour. Depuis le 1er décembre, il est capable de travailler à 50 % et dès le 1er janvier 2009 il est capable de travailler à 100 %. […] » Ensuite des événements du 26 juillet 2003, le recourant a suivi, dès le 1er février 2007, une psychothérapie auprès de la Dre P.________, spécialiste en médecine interne générale. Le traitement était toujours en cours en novembre 2008, à un rythme de consultation bimensuel. A l’appui de son rapport intermédiaire du 13 novembre 2008 à</w:t>
      </w:r>
    </w:p>
    <w:p>
      <w:r>
        <w:t>- 15 - la CNA (cf. pièce 56 du dossier de la CNA relatif à l’accident du 26 juillet 2003), elle a produit un courrier du 3 octobre 2008, adressé au conseil du recourant dans la procédure pénale, et dont la teneur est la suivante (sic) : « […] Le patient présente un état anxio-dépressif majeur post- traumatique moyen à sévère avec symptômes somatiques type gastralgies, migraines qui sont très invalidantes suite à l'agression qu'il a subi le 26 juillet 2003 au [...]. Le patient est compliant quant au traitement psychothérapeutique ainsi que psychopharmacologique qui est sous forme de traitement anti-dépresseur, anxiolytique, permettant d'atténuer la symptomatologie anxiodépressive, toutefois le patient reste particulièrement fragile et vulnérable face au stress et surmenage. Variation périodique sous forme d'angoisse avec attaque de panique, cauchemars, troubles du sommeil majeurs, baisse de rendement professionnel et absentéisme. Sa souffrance morale suite à cette agression à laquelle il a été victime, rentre dans le cadre, bien entendu, du tableau de stress post-traumatique important. Le patient exprime un sentiment d'injustice, déception et impuissance ; en tant que victime face à sa souffrance ainsi que déception par rapport à l’évolution de la procédure judiciaire et conclusion sur le plan du verdict. Aujourd'hui, on est face à une personnalité très fragilisée par cet événement. Monsieur B.________ présente une atteinte sur le plan de santé psychique qui met le pronostic sous réserve sur son évolution tantôt sur son étal de santé général que socio-professionnel. […] » Si le recourant souffrait effectivement de troubles psychiques à la date du 10 décembre 2008, de même qu’il présentait une incapacité de travail à tout le moins partielle, ces éléments ne suffisent pas à eux seuls à retenir une incapacité de discernement. De même, nonobstant leur contenu alarmant, il ne peut être inféré des rapports des Drs H.________ et P.________ que l’état de santé psychique du recourant le privait de sa capacité de discernement. Il ne ressort en effet pas de ces rapports que le recourant manifestait des difficultés de compréhension, de raisonnement et de détermination en raison de ses troubles psychiques. A cela s’ajoute que ces médecins ont reçu le recourant à leur consultation dans les semaines précédant les événements du 10 décembre 2008 et qu’il n’est vraisemblablement rien survenu dans l’intervalle impactant l’état de santé psychique du recourant et autorisant une appréciation différente.</w:t>
      </w:r>
    </w:p>
    <w:p>
      <w:r>
        <w:t>- 16 - Les pièces du dossier pénal ne permettent pas non plus de retenir une incapacité de discernement. En effet, il ressort du rapport médical pratiqué en matière de suspicion d’ivresse que, lors de l’examen clinique du 10 décembre 2008, à 18 h 22, par le Dr Z.________, médecin assistant au Centre R.________, le recourant était calme, son état psychique normal, tout comme son orientation dans le temps et dans l’espace, et son appréciation de la situation était saine (cf. pièce 22 du dossier pénal). Les résultats de cet examen, intervenu moins de quatre heures après les événements, ne rendent pas vraisemblables une incapacité de discernement. Il en va de même des résultats du rapport d’analyse toxicologique du 4 mai 2009 du Centre D.________ (cf. pièce 40 du dossier pénal), qui ont révélé la présence de cannabis, de morphine et citalopram. S’agissant de ces substances, dans son audition du 30 septembre 2009, le recourant, auquel était rappelé le contenu du rapport précité, a admis avoir consommé du cannabis le soir précédant le 10 décembre 2008 (cf. procès-verbal d’audition n°6 du dossier pénal). En l’absence de consommation admise d’opiacé, il convient de retenir que la présence de morphine résulte vraisemblablement du traitement administré au recourant lors de son transfert à l’hôpital ou en cours d’hospitalisation, étant précisé que les échantillons analysés par le Centre D.________ ont été prélevés le 10 décembre 2008 à 19 h 00 (pour le sang) et à 23 h 00 (s’agissant de l’urine). Quant au citalopram, le Centre D.________ précise que cet anti-dépresseur ne semble entraver le comportement psychomoteur que de façon minime (cf. pièce 40 du dossier pénal). Une incapacité de discernement au moment des faits n’est ainsi pas rendue vraisemblable. Un complément d’instruction sur ce point, que ce soit sous la forme d’une expertise judiciaire ou d’un renvoi pour instruction complémentaire, n’est dès lors pas nécessaire et doit être rejeté sur la base d’une appréciation anticipée des preuves (ATF 140 I 285 consid. 6.3.1 ; 134 I 140 consid. 5.3 ; 130 II 425 consid. 2.1).</w:t>
      </w:r>
    </w:p>
    <w:p>
      <w:r>
        <w:t>- 17 - c) Le recourant soutient qu’il ne pouvait s’attendre, alors qu’il s’était éloigné du lieu de l’altercation après avoir vu son visage aspergé au moyen d’un spray au poivre, à ce que le gendarme fasse usage de son arme à feu, et considère de ce fait que le lien de causalité adéquate doit être nié. En l’espèce, le recourant n’ignorait pas que le gendarme était armé, celui-ci ayant déjà sorti son pistolet en début d’intervention, avant de le rengainer. Contrairement à ce que soutient le recourant, soit que le gendarme l’a frappé, il n’est nullement exclu que ses blessures au visage soient la conséquence de chocs avec des rétroviseurs lorsqu’il est parti en courant. En effet, il l’a lui-même déclaré lors de sa première audition du 13 décembre 2008 et cette version paraît la plus vraisemblable d’autant que le spray au poivre entraîne un effet incapacitant instantané sous la forme d’une fermeture temporaire des yeux, qui expliquerait en l’occurrence les chocs contre les rétroviseurs (cf. procès-verbal d’audition n°3 du dossier pénal). Il sera également rappelé sur ce point la jurisprudence dite des « premières déclarations ou des déclarations de la première heure », selon laquelle il convient en général d’accorder la préférence aux premières déclarations du recourant faites alors qu’il en ignorait peut-être les conséquences juridiques, les explications nouvelles pouvant être consciemment ou non le fruit de réflexions ultérieures (ATF 121 V 45 consid. 2a ; TF 8C_873/2014 du 13 avril 2015 consid. 4.2.1). Cette même jurisprudence autorise également à retenir que le recourant, quand bien même sa vision pouvait encore être diminuée par le spray au poivre, a effectivement pris une palette en bois pour la lancer contre le gendarme, comme il l’a déclaré lors de sa première audition (cf. procès-verbal d’audition n°3 du dossier pénal). Un tel geste est significatif d’une intention agressive tout comme les coups dans le corps à corps qui a suivi, geste et coups dont le recourant a admis être l’auteur dans sa première déclaration. Sans doute, le recourant ne s’attendait pas à être blessé par balle. L’imprévisibilité de cet acte ne suffit cependant pas en soi à</w:t>
      </w:r>
    </w:p>
    <w:p>
      <w:r>
        <w:t>- 18 - interrompre le rapport de causalité adéquate. Dans le contexte précité, en particulier face au comportement belliqueux du recourant, objectivement reconnaissable comme tel, l’usage par le gendarme de son pistolet dans l’intention de procéder à un tir de semonce est une éventualité qui ne peut pas être exclue selon le cours ordinaire des choses et l'expérience de la vie. Le recourant pouvait et devait se rendre compte qu’en poursuivant l’altercation en donnant des coups, il existait un risque non négligeable d’être blessé. A partir de là, le fait que l’intervention débouche sur une blessure par balle n’est pas si imprévisible ou si exceptionnel pour qu'il soit propre à rompre le lien de causalité. Au demeurant, la jurisprudence a retenu que le lien de causalité adéquate n’était pas rompu entre le délit de violence ou menace contre les autorités et les fonctionnaires et le décès d’un assuré consécutif à l’usage de son arme par un agent de la force publique, même s’il n’était pas justifié que l’agent en fît usage au regard des circonstances (TF 8C_737/2009 du 27 août 2010 consid. 3.3 et la référence citée). d) Au vu de ce qui précède, c’est à juste titre que l’intimée a réduit ses prestations en espèces de moitié en application de l'art. 49 al. 2 let. a OLAA. Il s’agit par ailleurs du taux de réduction minimum prévu par cette disposition, de telle sorte que même l’hypothèse d’une altération de la capacité de discernement du recourant demeurerait sans influence sur ce taux. 6. a) En définitive, le recours, mal fondé, doit être rejeté et la décision sur opposition attaquée confirmée. b)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 c) La partie recourante est au bénéfice de l’assistance judiciaire. Me Corinne Monnard Séchaud peut prétendre une équitable</w:t>
      </w:r>
    </w:p>
    <w:p>
      <w:r>
        <w:t>- 19 - indemnité pour son mandat d’office. Après examen de la liste des opérations déposée le 1er juillet 2022, compte tenu de l’importance et de la complexité du litige, il convient d’arrêter l’indemnité à 5'141 fr. 65, débours et TVA compris (art. 2, 3 al. 1 et 3bis RAJ [règlement cantonal du 7 décembre 2010 sur l’assistance judiciaire en matière civile ; BLV 211.02.3]).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