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ZA16.056530 vom 13. August 2018</w:t>
      </w:r>
    </w:p>
    <w:p>
      <w:r>
        <w:t>VD Tribunal cantonal, 2018-08-13, FR</w:t>
      </w:r>
    </w:p>
    <w:p>
      <w:r>
        <w:rPr>
          <w:b/>
        </w:rPr>
        <w:t xml:space="preserve">Quelle: </w:t>
      </w:r>
      <w:r>
        <w:t>https://mcp.opencaselaw.ch/entscheid/vd_gerichte_ZA16.056530</w:t>
      </w:r>
    </w:p>
    <w:p>
      <w:r>
        <w:t>FR: VD_GERICHTE ZA16.056530 du 13 août 2018</w:t>
      </w:r>
    </w:p>
    <w:p>
      <w:r>
        <w:t>IT: VD_GERICHTE ZA16.056530 del 13 agosto 2018</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 accidents;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Selon l’art. 93 let. a LPA-VD (loi cantonale vaudoise du 28 octobre 2008 sur la procédure administrative ; RSV 173.36), qui s’applique aux recours et contestations par voie d’action dans le demaine des assurance sociales (art. 2 al. 1 let. c LPA-VD), la Cour des assurances sociales du Tribunal cantonal, composée de trois magistrats (art. 94 al. 4 LPA-VD), est compétente pour statuer. En l’espèce, formé en temps utile devant l’autorité compétente et respectant les autres conditions de recevabilité (art. 61 let. b LPGA), le recours est recevable.</w:t>
      </w:r>
    </w:p>
    <w:p>
      <w:r>
        <w:t>- 7 - b) Le litige porte uniquement sur la question de savoir si les troubles aux genoux qui persistent chez le recourant au-delà du 29 août 2016 incombent ou non à l’assurance-accidents obligatoire, au titre de conséquence de l’accident du 27 octobre 2015, étant précisé que la CNA a alloué jusqu’à cette date ses prestations légales. c) 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d’assurances allouées pour les accidents qui sont survenus avant l’entrée en vigueur de la modification du 25 septembre 2015 et pour les maladies professionnelles qui se sont déclarées avant cette date sont en effet régies par l’ancien droit.</w:t>
      </w:r>
    </w:p>
    <w:p>
      <w:r>
        <w:rPr>
          <w:b/>
        </w:rPr>
        <w:t>E. 2</w:t>
      </w:r>
    </w:p>
    <w:p>
      <w:r>
        <w:t>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(cf. ATF 129 V 177 consid. 3.1; 402 consid. 4.3.1; 119 V 335 consid. 1; 118 V 286 consid. 1b et les références).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w:t>
      </w:r>
    </w:p>
    <w:p>
      <w:r>
        <w:t>- 8 -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ATF 129 V 177 consid. 3.1; 402 consid. 4.3.1; 119 V 335 consid. 1; 118 V 286 consid. 1b et les références).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1992 n° U 142 p. 75; TF 8C_1003/2010 du 22 novembre 2011 consid. 1.2; 8C_552/2007 du 19 février 2008 consid. 2). A contrario, aussi longtemps que le statu quo sine vel ante n'est pas rétabli, l'assureur-accidents doit prendre à sa charge le traitement de l'état maladif préexistant, dans la mesure où il s'est manifesté à l'occasion de l'accident ou a été aggravé par ce dernier (cf. TF 8C_373/2013 du 11 mars 2014 consid. 3.2). b) Selon l'art. 6 al. 2 LAA, le Conseil fédéral peut inclure dans l'assurance des lésions corporelles qui sont semblables aux conséquences d'un accident. En vertu de cette délégation de compétence, le Conseil fédéral a édicté l'art. 9 al. 2 OLAA (ordonnance du 20 décembre 1982 sur l'assurance-accidents ; RS 832.202), selon lequel certaines lésions corporelles sont assimilées à un accident, même si elles ne sont pas</w:t>
      </w:r>
    </w:p>
    <w:p>
      <w:r>
        <w:t>- 9 - causées par un facteur extérieur de caractère extraordinaire, pour autant qu'elles ne soient pas manifestement imputables à une maladie ou à des phénomènes dégénératifs. Ces lésions corporelles sont les suivantes : a. les fractures ; b. les déboîtements d'articulations ; c. les déchirures du ménisque ; d. les déchirures de muscles ; e. les élongations de muscles ; f. les déchirures de tendons ; g. les lésions de ligaments ; h. les lésions du tympan. Cette liste est exhaustive (cf. ATF 116 V 136 consid. 4a et les références).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(cf. ATF 129 V 466). Il faut qu'un facteur extérieur soit une cause possible de la lésion, au moins à titre partiel, pour qu'une lésion assimilée à un accident soit admise (cf. TF 8C_698/2007 du 27 octobre 2008 consid. 4.2 et les références). On précisera qu'en ce qui concerne l'art. 9 al. 2 OLAA, on ne peut admettre qu'une lésion assimilée - malgré son origine en grande partie dégénérative - a fait place à l'état de santé dans lequel l'assuré se serait trouvé sans l'accident (retour au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w:t>
      </w:r>
    </w:p>
    <w:p>
      <w:r>
        <w:t>- 10 - dégénérative ou accidentelle de cette lésion (cf. TF 8C_357/2007 du 31 janvier 2008 consid. 2 et TFA U 220/02 du 6 août 2003 consid. 2).</w:t>
      </w:r>
    </w:p>
    <w:p>
      <w:r>
        <w:rPr>
          <w:b/>
        </w:rPr>
        <w:t>E. 3</w:t>
      </w:r>
    </w:p>
    <w:p>
      <w:r>
        <w:t>a) La liste exhaustive de l'art. 9 al. 2 OLAA mentionne en particulier les déchirures du ménisque (let. c) et les lésions de ligaments (let. g). Les IRM des 10 et 11 novembre 2015 ont révélé, en ce qui concerne les atteintes aux ménisques et aux ligaments, à gauche, une déchirure horizontale de la corne postérieure du ménisque interne avec suspicion d’extension à la corne moyenne, une déchirure partielle de stade II du ligament latéral interne, une lésion mucoïde de grade II de la corne antérieure du ménisque externe et un status après déchirure partielle de stade II du ligament latéral externe. Ils ont montré, à droite, une lésion mucoïde de grade III de la corne postérieure du ménisque, une lésion mucoïde de grade II de sa corne antérieure, une déchirure partielle de stade II du ligament latéral interne ainsi qu’une lésion mucoïde de grade I des cornes antérieure et postérieure du ménisque externe. Le Dr K.________, orthopédiste traitant de l’assuré, auprès duquel le Dr P.________ avait envoyé ce dernier, a uniquement constaté que les IRM avaient révélé, à droite, une déchirure méniscale interne périphérique et, à gauche, un syndrome fémoro-patellaire. Il précise ensuite qu’il s’agit cliniquement, à droite, d’une suspicion de déchirure méniscale interne qui est partiellement confirmée avec une petite déchirure périphérique au niveau de l’IRM ainsi qu’un syndrome fémoro-patellaire, à gauche. A la lecture de l’IRM, le Dr K.________ ne retient pas déchirure du ménisque à gauche contrairement à ce que prétend le recourant. Selon la doctrine médicale, en ce qui concerne la classification des anomalies du signal du ménisque lors d’une IRM, seule la lésion de grade III peut révéler une déchirure méniscale. En l’occurrence, l’IRM a révélé une seule lésion du ménisque de grade III au genou droit, ce qui correspond aux constatations du Dr K.________, qui interprète par ailleurs l’atteinte révélée par l’imagerie comme une suspicion de déchirure méniscale. Il faut toutefois constater que la lésion du ménisque de grade III est qualifiée de lésion mucoïde. Le terme mucoïde désigne une dégénérescence et en conséquence une atteinte dégénérative des</w:t>
      </w:r>
    </w:p>
    <w:p>
      <w:r>
        <w:t>- 11 - ménisques. A cet égard, tant les spécialistes de la Clinique B.________ que les Drs Q.________ et M.________ retiennent des lésions exclusivement dégénératives des ménisques et des lésions chondrales, prédominant au compartiment fémoro-patellaire (grade IV). Les lésions partielles des ligaments, révélées par l’IRM, ne sont par ailleurs retenues par aucun des médecins consultés. Il est dès lors suffisamment établi qu’avant la survenance de l'accident, les atteintes à la santé de l’assuré avaient un caractère exclusivement maladif ou dégénératif. Par contre, il n’est pas contesté que l’accident du 27 octobre 2015 a exercé une influence sur ces lésions dégénératives et asymptomatiques préexistantes en ce sens qu'il a déclenché une impotence fonctionnelle ainsi que des douleurs. En tant qu'il a déclenché la symptomatologie et qu'il revêt l'aspect d'un facteur extérieur - et, qui plus est, de caractère extraordinaire -, l'événement du 27 octobre 2015 ouvrait donc droit à des prestations pour les suites des lésions même si elles avaient, pour l'essentiel, une origine dégénérative (cf. ATF 129 V 466; 123 V 43 consid. 2b; 116 V 145 consid. 2c; 114 V 298 consid. 3c), raison pour laquelle la CNA a versé de telles prestations. Il n'en demeure pas moins que les déchirures dégénératives des ménisques et des ligaments existaient déjà avant l'accident. C'est pourquoi, même si cette lésion peut être assimilée à une déchirure des tendons au sens de l'art. 9 al. 2 let. f OLAA, le point de savoir si l'incapacité de travail persistant après le 29 août 2016 et l’éventuel traitement médical prodigué après cette date sont en relation avec la symptomatologie déclenchée par l'accident ne doit pas être tranché à l'aune des règles particulières de preuve posées par la jurisprudence en ce qui concerne les lésions mentionnées à l'art. 9 al. 2 OLAA, mais selon les principes généraux applicables lorsqu'un état maladif préexistant est aggravé ou, de manière générale, apparaît consécutivement à un accident (cf. TF 8C_714/2013 du 23 juillet 2014 consid. 5.2.1). De manière concordante, les médecins consultés (soit la Clinique B.________, le Dr M.________, le Dr K.________ et le Dr Q.________) estiment en particulier que les douleurs sont dues pour l’essentiel à la</w:t>
      </w:r>
    </w:p>
    <w:p>
      <w:r>
        <w:t>- 12 - chondropathie bilatérale de stade IV, le Dr Q.________ relevant même que vu les atteintes chondrales, notamment à gauche, une arthroscopie du genou gauche associée à une résection méniscale, n’empêcherait pas les douleurs de continuer. Cela étant, il apparaît, au degré de la vraisemblance prépondérante appliquée généralement à l'appréciation des preuves dans l'assurance sociale (cf. ATF 129 V 177 consid. 3.1, 402 consid. 4.3), que l'existence d'un rapport de cause à effet entre la symptomatologie déclenchée par l'accident et l'incapacité de travail persistant après le 29 août 2016 est possible, mais ne peut pas être qualifiée de probable dans le cas particulier. Il résulte de cela qu'après le 29 août 2016, l'atteinte à la santé était imputable exclusivement à des causes étrangères à l'événement du 27 octobre 2015, de sorte que le devoir de l'assureur- accidents d'allouer des prestations prenait fin. L’avis isolé du 26 septembre 2016 du Dr P.________, qui n’est au demeurant pas orthopédiste, ne permet pas de retenir une autre solution. En effet, celui-ci est contradictoire, le Dr P.________ attestant à la fois qu’aucun facteur étranger à l’accident n’influence les atteintes à la santé du recourant et convient d’autre part de l’existence d’une arthrose fémoro-tibiale interne bilatérale. A cela s’ajoute le fait que l’intimée n’a pas nié que l’accident avait aggravé les atteintes préexistantes et dégénératives que présentait le recourant. Elle a seulement fixé le statu quo sine au 29 août 2016. Or le Dr P.________ ne motive absolument pas son constat selon lequel le statu quo sine ne serait pas atteint à cette date. b) Vu ce qui précède, l’intimée était fondée à supprimer, à partir du 29 août 2016, le droit du recourant à des prestations d'assurance (frais médicaux et indemnité journalière) pour la symptomatologie douloureuse et l'impotence fonctionnelle liées à la lésion des deux genoux et persistant au-delà de cette date.</w:t>
      </w:r>
    </w:p>
    <w:p>
      <w:r>
        <w:rPr>
          <w:b/>
        </w:rPr>
        <w:t>E. 4</w:t>
      </w:r>
    </w:p>
    <w:p>
      <w:r>
        <w:t>Le dossier, complet, permet à la Cour de statuer en pleine connaissance de cause. La mise en œuvre d'une expertise orthopédique, telle que requise par le recourant dans son acte du 22 décembre 2016,</w:t>
      </w:r>
    </w:p>
    <w:p>
      <w:r>
        <w:t>- 13 - n’apparaît ainsi pas de nature à apporter un éclairage différent des éléments retenus ci-dessus et peut dès lors être écartée par appréciation anticipée des preuves (cf. ATF 137 III 208 consid. 2.2 ; 135 II 286 consid. 5.1).</w:t>
      </w:r>
    </w:p>
    <w:p>
      <w:r>
        <w:rPr>
          <w:b/>
        </w:rPr>
        <w:t>E. 5</w:t>
      </w:r>
    </w:p>
    <w:p>
      <w:r>
        <w:t>a) En définitive, le recours, mal fondé, doit être rejeté et la décision entreprise confirmée. b) La procédure étant gratuite (art. 61 let. a LPGA), il n’y a pas lieu de percevoir des frais judiciaires. Par ailleurs, le recourant n’obtenant pas gain de cause, il n’a pas droit à des dépens (art. 6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