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ZA16.041267 vom 3. Mai 2018</w:t>
      </w:r>
    </w:p>
    <w:p>
      <w:r>
        <w:t>VD Tribunal cantonal, 2018-05-03, FR</w:t>
      </w:r>
    </w:p>
    <w:p>
      <w:r>
        <w:rPr>
          <w:b/>
        </w:rPr>
        <w:t xml:space="preserve">Quelle: </w:t>
      </w:r>
      <w:r>
        <w:t>https://mcp.opencaselaw.ch/entscheid/vd_gerichte_ZA16.041267</w:t>
      </w:r>
    </w:p>
    <w:p>
      <w:r>
        <w:t>FR: VD_GERICHTE ZA16.041267 du 3 mai 2018</w:t>
      </w:r>
    </w:p>
    <w:p>
      <w:r>
        <w:t>IT: VD_GERICHTE ZA16.041267 del 3 maggio 2018</w:t>
      </w:r>
    </w:p>
    <w:p>
      <w:pPr>
        <w:pStyle w:val="Heading2"/>
      </w:pPr>
      <w:r>
        <w:t>Erwägungen</w:t>
      </w:r>
    </w:p>
    <w:p>
      <w:r>
        <w:rPr>
          <w:b/>
        </w:rPr>
        <w:t>E. 10</w:t>
      </w:r>
    </w:p>
    <w:p>
      <w:r>
        <w:t>au 31 août 2015 en raison d’un accident, ainsi qu’un avis de sortie du 25 novembre 2015 de la Dresse D.________, médecin assistante à l’Hôpital V.________ (ci-après : V.________), ensuite d’une hospitalisation au V.________ du 26 octobre au 26 novembre 2015. Il en ressort que l’assuré a été pris en charge en raison de douleurs abdominales et d’une baisse de son état général. Le diagnostic principal de sténose obstructive sigmoidienne sur diverticulite perforée couverte, avec abcès, et les diagnostics secondaires de malnutritions protéino-énergétique avec hypoalbuminémie et de fistule vésico-rectale ont été posés. L’assuré a été opéré le 17 novembre 2015, les interventions consistant en une laparotomie exploratrice, avec sigmoïdectomie et mise en place d’une ilésotomie de protection, ainsi qu’une cystoscopie, avec la pose d’une sonde double J à gauche.</w:t>
      </w:r>
    </w:p>
    <w:p>
      <w:r>
        <w:t>- 9 - Par décision sur opposition du 25 août 2016, la CNA a rejeté l’opposition et a confirmé la décision du 3 décembre 2015. Elle a réitéré les motifs précédemment avancés, notamment que la comparaison entre un salaire annuel exigible de 59'941 fr. (4'995 fr. mensuels) et un gain annuel présumable perdu de 84'072 fr. (7'006 fr. mensuels) révélait une perte de gain de 28.7 %, de sorte qu’une rente d’invalidité de 29 % devait effectivement être allouée à l’assuré. Elle a ajouté que les troubles ressortant de l’avis de sortie du 25 novembre 2015 du V.________ étaient, à l’évidence, étrangers à l’accident du 12 janvier 2010 et qu’elle n’avait donc pas à en répondre. Elle a enfin relevé, concernant l’indemnité pour atteinte à l’intégrité, que le Dr K.________ avait estimé le taux à 20 % en prenant en compte une certaine aggravation prévisible et la nécessité de mettre en place à moyen terme une prothèse de l’épaule. D. Par acte du 21 septembre 2016, Z.________, toujours représenté par Me Jean-David Pelot, a recouru auprès de la Cour des assurances sociales du Tribunal cantonal contre la décision sur opposition susmentionnée, concluant à ce qu’elle soit « annulée », à ce qu’il soit mis au bénéfice d’une rente d’invalidité de 100 % et à ce que le calcul de l’indemnité pour atteinte à l’intégrité soit suspendu tant que le traitement n’était pas terminé. Il a, en substance, fait valoir les mêmes arguments que ceux soulevés dans son opposition du 4 janvier 2016. Par réponse du 11 janvier 2017, l’intimée a conclu au rejet du recours. En substance, compte tenu des limitations fonctionnelles ressortant du rapport du 20 octobre 2015 ensuite d’un examen clinique du 25 septembre 2015 rendu dans le cadre de la procédure de l’OAI par le Dr M.________, spécialiste en médecine physique et réadaptation et en rhumatologie et médecin auprès du SMR, l’intimée a considéré qu’il convenait de déterminer le revenu d’invalide du recourant sur la base des salaires résultant l’Enquête suisse sur la structure des salaires (ESS). Retenant un revenu d’invalide déterminant pour l’année 2015 de 60'047 fr.04, elle a estimé le taux d’invalidité du recourant à 28.57 %, arrondi à 29 %, confirmant ainsi le taux estimé précédemment sur la base des DPT. Elle a encore relevé qu’il a été tenu compte, pour estimer le</w:t>
      </w:r>
    </w:p>
    <w:p>
      <w:r>
        <w:t>- 10 - revenu d’invalide à 60'047 fr.04, d’un niveau de qualification élémentaire, alors qu’il ressortait du dossier AI que l’assuré disposait des capacités pour mener à bien une formation dans le dessin en bâtiment. Le métier de dessinateur était une activité adaptée aux limitations fonctionnelles de l’intéressé et lui permettrait de réaliser un revenu annuel brut de 76'104 fr., réduisant ainsi le taux d’invalidité. A l’appui de sa réponse, l’intimée a produit le dossier du recourant, une lettre de l’OAI du 23 novembre 2015 et le rapport susmentionné du 20 octobre 2015, par lequel le Dr M.________ a posé le diagnostic – avec répercussion durable sur la capacité de travail – d’omarthrose et instabilité de l’épaule gauche consécutive au traumatisme du 12 janvier 2010 avec fracture capitale et sous-capitale comminutive, ainsi que les diagnostics – sans répercussion sur la capacité de travail – de lombalgie occasionnelle, sans déficit neurologique, et de status post fracture du tibia-péroné gauche. Il a reconnu au recourant une pleine capacité de travail dans une activité adaptée, avec les limitations fonctionnelles suivantes, en relation avec les atteintes à l’épaule gauche : éviter le port de charges près ou loin du corps, éviter les activités au-dessus du plan de l’épaule, éviter les activités en porte-à-faux, éviter l’utilisation des échelles et éviter les activités à genoux. Compte tenu de l’instabilité et de la laxité de l’épaule gauche, l’activité professionnelle devait pouvoir être accomplie essentiellement avec le membre supérieur droit, le membre supérieur gauche ne pouvant être utilisé que pour des gestes d’appoint. Un travail sur ordinateur, tel que dessinateur sur ordinateur, n’était pas contre-indiqué. Par décision du 10 février 2017, le juge instructeur a accordé au recourant le bénéfice de l’assistance judiciaire avec effet au 9 février 2017, notamment par l’assistance d’office d’un avocat en la personne de Me Jean-David Pelot. Par réplique du 6 mars 2017, le recourant a confirmé sa position. Le 10 novembre 2017, Me Pelot a produit la liste de ses opérations.</w:t>
      </w:r>
    </w:p>
    <w:p>
      <w:r>
        <w:t>- 11 -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w:t>
      </w:r>
    </w:p>
    <w:p>
      <w:r>
        <w:t>- 12 - b) En l’occurrence, le litige porte sur le droit du recourant à une rente et à une indemnité pour atteinte à l’intégrité. 3. 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b/aa)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[Tribunal fédéral] 8C_511/2010 du 22 mars 2011 consid. 2 et réf. cit.). Le seul fait que des symptômes douloureux ne se sont manifestés qu'après la survenance d'un accident ne suffit pas à établir un rapport de causalité naturelle avec cet accident (non-application du</w:t>
      </w:r>
    </w:p>
    <w:p>
      <w:r>
        <w:t>- 13 - raisonnement « post hoc, ergo propter hoc » ; ATF 119 V 335 consid. 2b/bb ; TF 8C_347/2013 du 18 février 2014 consid. 2.2). bb)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consid.5a et réf. cit.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recoupe largement avec la causalité naturelle, de sorte qu’elle ne joue pratiquement pas de rôle et qu’il n’y a pas lieu d’examiner séparément ces deux liens de causalité (ATF 138 V 248 consid. 4 ; 127 V 102 consid. 5b/bb ; 118 V 286 consid. 3a ; 117 V 359 consid. 5d/bb ; TF 8C_220/2016 du 10 février 2017 consid. 7.3 ; 8C_726/2008 du 14 mai 2009 consid. 2.1). c/aa) L’assuré a droit au traitement médical approprié des lésions résultant de l’accident (art. 10 al. 1 LAA) et à une indemnité journalière s’il est totalement ou partiellement incapable de travailler à la suite d’un accident (art. 16 al. 1 LAA). bb)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w:t>
      </w:r>
    </w:p>
    <w:p>
      <w:r>
        <w:t>- 14 -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 cc) L’assuré qui, par suite de l’accident, souffre d’une atteinte importante et durable à son intégrité physique, mentale ou psychique, a droit à une indemnité équitable pour atteinte à l’intégrité (art. 24 al. 1 LAA). L’indemnité est fixée en même temps que la rente d’invalidité ou, si l’assuré ne peut prétendre une rente, lorsque le traitement médical est terminé (art. 24 al. 2 LAA).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w:t>
      </w:r>
    </w:p>
    <w:p>
      <w:r>
        <w:t>- 15 -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 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5. a) Le recourant présente des atteintes à son épaule gauche d’origine accidentelle. L’intimée a accepté de les prendre en charge, ce qui ne prête pas à discussion. b) L’intéressé allègue toutefois que la baisse de son état général, pour laquelle une hospitalisation au V.________ a été nécessaire en automne 2015, est uniquement liée à la prise d’antalgiques et de divers autres médicaments nécessités par le traitement de l’épaule gauche, ainsi que par les douleurs insupportables causées par cette épaule. La consommation excessive d’alcool constatée par plusieurs médecins serait d’ailleurs à visée antalgique. Ces allégations ne sont toutefois pas vraisemblables et ne sont étayées par aucune pièce médicale. Il n’y a donc aucun motif de constater un rapport de causalité entre l’accident assuré, ainsi que le traitement médicamenteux prescrit ensuite des lésions de l’épaule gauche, d’une part, et la baisse de l’état général de l’assuré en automne 2015 ainsi que l’hospitalisation, avec cure de sténose obstructive sigmoidienne sur diverticulite perforée, effectuée du 26 octobre au 26 novembre 2015.</w:t>
      </w:r>
    </w:p>
    <w:p>
      <w:r>
        <w:t>- 16 - 6. Le recourant conteste que son état de santé soit stabilisé et demande que l’intimée soit invitée à surseoir à statuer sur le droit à l’indemnité pour atteinte à l’intégrité jusqu’à ce que le traitement soit terminé. Il conclut néanmoins à l’octroi d’une rente fondée sur un taux d’invalidité de 100 %. Ces conclusions sont contradictoires. En effet, si l’état de santé de l’intéressé était stabilisé, l’intimée devait effectivement mettre fin au versement des indemnités journalières et à la prise en charge des traitements médicaux, avant de statuer sur son droit à la rente et à l’indemnité pour attente à l’intégrité. Si au contraire l’état de santé n’était pas stabilisé, l’intimée aurait alors dû continuer à allouer des indemnités journalières et à prendre en charge les traitements médicaux – le recourant ne prend toutefois aucune conclusion sur ces deux points – et il serait prématuré d’allouer non seulement une indemnité pour atteinte à l’intégrité, mais également une rente. En l’occurrence, l’intimée a considéré à juste titre que les séquelles accidentelles subies à l’épaule gauche n’étaient plus susceptibles d’amélioration notable par un traitement médical, comme cela ressort notamment du rapport du 6 novembre 2012 des Drs W.________ et P.________ de la Q.________ et du rapport du Dr F.________ du 20 mai 2014. Tout au plus, la pose d’une hémiprothèse pourrait-elle entrer en considération, mais le recourant y a renoncé pour l’instant. Au vu des rapports cités, l’intimée était en droit de mettre fin aux indemnités journalières et au traitement dès le 31 juillet 2015 au soir, comme elle l’a fait. Il lui appartenait toutefois d’allouer la rente dès le 1er août 2015 et non dès le 1er septembre 2015 seulement. Il convient de rectifier sur ce point la décision sur opposition litigieuse. 7.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w:t>
      </w:r>
    </w:p>
    <w:p>
      <w:r>
        <w:t>- 17 -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 TF 8C_761/2012 du 29 juillet 2013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134 V 322, consid. 5.2 ; 126 V 75 consid. 5 ; TF 8C_80/2013 du 17 janvier 2014 consid. 3.2 ; 9C_704/2008 du 6 février 2009 consid. 3). Selon la jurisprudence, la détermination du revenu d’invalide sur la base des données salariales résultant des DPT suppose, en sus de la</w:t>
      </w:r>
    </w:p>
    <w:p>
      <w:r>
        <w:t>- 18 -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b) Le recourant ne discute pas de manière plus détaillée le calcul du taux d’invalidité effectué par l’intimée, sauf à contester disposer d’une pleine capacité de travail dans une activité adaptée. Le revenu hypothétique sans invalidité a été fixé par l’intimée à un montant annuel de 84'072 fr., sur la base des renseignements communiqués par l’employeur. Il n’y a pas lieu de revenir plus en détail sur ce point en l’absence de tout grief du recourant. Le recourant conteste disposer d’une pleine capacité de travail dans une activité, même adaptée aux limitations fonctionnelles constatées par les médecins. Il ne s’appuie toutefois sur aucune pièce médicale probante pour étayer ses allégations relatives à une incapacité de travail de 50 à 100 % dans une activité adaptée. On ne trouve en effet au dossier aucune pièce attestant, de manière motivée, une incapacité de travail dans une activité adaptée, en relation avec les seules séquelles accidentelles à l’épaule gauche de l’intéressé. En revanche, les rapports des Drs W.________ et P.________ de la Q.________ du 6 novembre 2012, du Dr N.________ du 3 avril 2013 et du Dr M.________ du 20 octobre 2015 sont convergents à ce sujet, le Dr M.________ attestant toutefois plus de limitations que ses confrères. Le rapport de ce dernier est bien motivé sur ce point et il convient de s’y référer. On admettra donc que le recourant dispose d’une pleine capacité de travail dans une activité adaptée, telle que décrite par le Dr M.________, soit qui respecte les limitations fonctionnelles suivantes : éviter le port de charges près ou loin du corps, éviter les activités au-dessus du plan de l’épaule, éviter les activités en porte-à-faux, éviter l’utilisation des échelles et éviter les activités à</w:t>
      </w:r>
    </w:p>
    <w:p>
      <w:r>
        <w:t>- 19 - genoux. Aucun des médecins mentionnés ne confirme la nécessité, alléguée par le recourant, de diminuer son temps de travail en raison des douleurs. L’intimée a fixé le revenu annuel d’invalide à 59’941 fr., sur la base de DPT tirées de sa base de données interne. Les conditions posées par la jurisprudence en la matière sont remplies, de sorte qu’il n’y a pas lieu de s’écarter du revenu constaté par l’intimée. En particulier, les cinq DPT figurant au dossier correspondent aux limitations fonctionnelles constatées par les médecins, y compris le Dr M.________, ce que le recourant ne conteste pas. Le taux d’invalidité du recourant, déterminé sur la base des DPT, est ainsi effectivement de 29 % (28.70 % = [84'072 fr. - 59’941 fr.] / 84'072 fr. x 100). Au demeurant, même si l’on devait se référer à l’ESS 2014 plutôt qu’aux DPT produites par l’intimée, comme celle-ci le suggère dans sa dernière détermination, le taux d’invalidité devrait également être fixé à 29 %. En effet, le calcul opéré par l’intimée à cet égard doit être confirmé. Il y a ainsi lieu de retenir comme salaire de référence, celui auquel peuvent prétendre les hommes dans l’accomplissement de tâches physiques ou manuelles simples dans le secteur privé (production et services), soit 5'312 fr. par mois en 2014 (ESS 2014, TA 1, niveau de compétences 1). Ce salaire brut standardisé tient compte d’un horaire de travail de quarante heures, soit une durée hebdomadaire inférieure à la moyenne usuelle dans les entreprises en 2014, qui était de 41,7 heures (cf. La Vie économique). Le salaire mensuel adapté à cette durée hebdomadaire est ainsi de 5'537 fr. 76 (5'312 fr. x 41,7 / 40). Après adaptation de ce chiffre à l’évolution des salaires nominaux de 2014 à 2015 (+ 0.40 % ; La Vie économique), on obtient un revenu annuel de 66'719 fr. (1.004 x 5'537 fr. 76 x 12), étant rappelé que le recourant dispose d’une pleine capacité de travail dans une activité adaptée. En application de la jurisprudence précitée et compte tenu des limitations fonctionnelles somatiques du recourant, le taux d’abattement de 10 % – retenu par l’intimée dans sa dernière détermination – est justifié en l’espèce et doit ainsi être confirmé. Le revenu avec invalidité, déterminé</w:t>
      </w:r>
    </w:p>
    <w:p>
      <w:r>
        <w:t>- 20 - sur la base de l’ESS, s’élève donc à 60'047 fr. 04. Partant, le taux d’invalidité correspondant est également de 29 % (28.57 % = [84'072 fr. - 60'047 fr. 04] / 84'072 fr. x 100). En définitive, la comparaison des revenus permet de fixer le taux d’invalidité à 29 %, que ce soit sur la base des DPT ou sur la base de l’ESS. La décision querellée ne s’avère dès lors pas critiquable en retenant ce taux, lequel doit être confirmé. 8. a) Concernant l’indemnité pour atteinte à l’intégrité consacrée à l’art. 24 al.1 LAA, l'art. 36 al. 1 OLAA [ordonnance fédérale du 20 décembre 1982 sur l’assurance-accidents ; RS 832.202] prévoit qu’une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Une atteinte à l’intégrité au sens de l’art. 24 al. 1 LAA consiste généralement en un déficit corporel anatomique ou fonctionnel, mental ou psychique. Le taux d’une atteinte à l’intégrité doit être évalué exclusivement sur la base de constatations médicales objectives (ATF 115 V 147 consid. 1 ; 113 V 218 consid. 4b).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Chez tous les assurés présentant le même status médical, l’atteinte à l’intégrité est la même ; elle est évaluée de</w:t>
      </w:r>
    </w:p>
    <w:p>
      <w:r>
        <w:t>- 21 - manière abstraite, égale pour tous, de sorte qu’il n’est pas nécessaire de tenir compte des inconvénients spécifiques qu’elle entraîne pour l’assuré concerné (ATF 115 V 147 consid. 1 ; 113 V 221 consid. 4b et réf. cit.). L’annexe 3 de I’OLAA comporte un barème – reconnu conforme à la loi et non exhaustif (ATF 124 V 29 consid. 1b, 209 consid. 4a/bb et réf. cit.)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réf. cit.).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(TF 8C_563/2014 du 12 janvier 2015 consid. 5.3.1). b) En l’espèce, se référant à la table 5 – Atteinte à l’intégrité résultant d’arthroses – du barème d’indemnisation des atteintes à l’intégrité selon la LAA, référence 2870/5.f, édition 2000, le Dr K.________ a proposé de constater une atteinte à l’intégrité d’un taux de 20 %, la situation correspondant à une omarthrose grave laissant quand même une bonne fonction à l’épaule gauche (rapport du 15 février 2013). Il a précisé que cette estimation prenait en compte une certaine aggravation</w:t>
      </w:r>
    </w:p>
    <w:p>
      <w:r>
        <w:t>- 22 - prévisible et la nécessité de mettre en place à moyen terme une prothèse d’épaule. Les constatations sur ce point du Dr K.________ sont bien motivées et doivent être suivies. Le recourant ne soulève d’ailleurs aucun grief sur ce point, sauf à contester la stabilisation de son état de santé, à tort comme on l’a vu (cf. consid. 6 supra). L’atteinte à l’intégrité du recourant d’un taux de 20 %, retenue par l’intimée, doit ainsi être confirmée. 9. a) Vu ce qui précède, il est constaté que les conclusions du recourant sont mal fondées. Son recours est néanmoins très partiellement admis, la décision litigieuse devant être réformée en ce sens que la rente allouée par l’intimée prend naissance non pas le 1er septembre, mais le 1er août 2015. b) La procédure étant gratuite (art. 61 let. a LPGA), il n’y a pas lieu de percevoir des frais judicaires. En outre, n’obtenant gain de cause que sur un aspect mineur du litige, dont il ne s’est pas plaint devant la Cour de céans, le recourant n’a pas droit à des dépens, pas plus que l’intimée en sa qualité d’assureur social (art. 61 let. g LPGA ; ATF 127 V 205). c) Le recourant bénéficie, au titre de l’assistance judiciaire, de la commission d’office d’un avocat en la personne de Me Jean-David Pelot (art. 118 al. 1 let. c CPC [code fédéral de procédure civile du 19 décembre 2008 ; RS 272], applicable par renvoi de l’art. 18 al. 5 LPA-VD). Ce dernier a produit une liste de ses opérations, datée du 10 novembre 2017 et totalisant 5 heures. Vérifiée d’office, cette liste doit être approuvée. L’indemnité d’office sera dès lors fixée à 985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