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ZA16.040833 vom 7. September 2017</w:t>
      </w:r>
    </w:p>
    <w:p>
      <w:r>
        <w:t>VD Tribunal cantonal, 2017-09-07, FR</w:t>
      </w:r>
    </w:p>
    <w:p>
      <w:r>
        <w:rPr>
          <w:b/>
        </w:rPr>
        <w:t xml:space="preserve">Quelle: </w:t>
      </w:r>
      <w:r>
        <w:t>https://mcp.opencaselaw.ch/entscheid/vd_gerichte_ZA16.040833</w:t>
      </w:r>
    </w:p>
    <w:p>
      <w:r>
        <w:t>FR: VD_GERICHTE ZA16.040833 du 7 septembre 2017</w:t>
      </w:r>
    </w:p>
    <w:p>
      <w:r>
        <w:t>IT: VD_GERICHTE ZA16.040833 del 7 settembre 2017</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w:t>
      </w:r>
    </w:p>
    <w:p>
      <w:r>
        <w:t>- 5 - VD) et prévoit à cet égard la compétence de la Cour des assurances sociales du Tribunal cantonal (art. 93 let. a LPA-VD). b) En l’espèce, le recours a été déposé en temps utile compte tenu des féries d'été (art. 38 al. 4 let. b LPGA) et respecte pour le surplus les autres conditions de forme prévues par la loi (art. 61 let. b LPGA notamment), de sorte qu'il est recevable.</w:t>
      </w:r>
    </w:p>
    <w:p>
      <w:r>
        <w:rPr>
          <w:b/>
        </w:rPr>
        <w:t>E. 2</w:t>
      </w:r>
    </w:p>
    <w:p>
      <w:r>
        <w:t>a) Le litige a pour objet le point de savoir si la recourante peut prétendre à une rente d'invalidité de l'assurance-accidents et à une indemnité pour atteinte à l'intégrité (IPAI) plus importante que celle allouée par l'intimée. b) On précisera que les modifications introduites par la novelle du 25 septembre 2015, entrée en vigueur le 1er janvier 2017 (cf. ch. 1 des dispositions transitoires relatives à cette modification [RO 2016 4388]) ne sont pas applicables au cas d'espèce (cf. aussi ATF 136 V 24 consid. 4.3 ; 130 V 445 consid. 1.2.1 ; 129 V 1 consid. 1.2 ; TF 9C_446/2013 du 21 mars 2014 consid. 4.2).</w:t>
      </w:r>
    </w:p>
    <w:p>
      <w:r>
        <w:rPr>
          <w:b/>
        </w:rPr>
        <w:t>E. 3</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w:t>
      </w:r>
    </w:p>
    <w:p>
      <w:r>
        <w:t>- 6 -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w:t>
      </w:r>
    </w:p>
    <w:p>
      <w:r>
        <w:t>- 7 - fondant sur le déroulement de l'événement accidentel, compte tenu, selon les circonstances, de certains critères en relation avec cet événement (ATF 134 V 109 consid. 10 ;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d'un traumatisme analogue à la colonne ou d'un traumatisme crânio-cérébral,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crânio-cérébral, lorsque les troubles psychiques apparus après l'accident constituent clairement une atteinte à la santé distincte et indépendante du tableau clinique consécutif à un traumatisme de ce type (TFA U 96/00 du 12 octobre 2000 consid. 2b, in RAMA 2001 n° U 412 p. 79; cf. également ATF 134 V 109 consid. 9.5; TF 8C_957/2008 du 1er mai 2009 consid. 4.2, 8C_124/2007 du 20 mai 2008 consid. 3.2 et 8C_591/2007 du 14 mai 2008 consid. 3.1).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parmi tous les éléments de fait allégués ou envisageables, le juge doit, le cas échéant, retenir ceux qui lui paraissent les plus probables (ATF 130 III 321 consid. 3.2 et 3.3 ; 126 V 353 consid. 5b ; 125 V 195 consid. 2). Aussi n'existe-t-il pas, en droit des assurances sociales, un principe selon lequel l'administration ou le</w:t>
      </w:r>
    </w:p>
    <w:p>
      <w:r>
        <w:t>- 8 - juge devrait statuer, dans le doute, en faveur de l'assuré (ATF 126 V 319 consid. 5a ; TF 8C_788/2012 du 17 juillet 2013 consid. 3). b)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w:t>
      </w:r>
    </w:p>
    <w:p>
      <w:r>
        <w:rPr>
          <w:b/>
        </w:rPr>
        <w:t>E. 5</w:t>
      </w:r>
    </w:p>
    <w:p>
      <w:r>
        <w:t>a)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b)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w:t>
      </w:r>
    </w:p>
    <w:p>
      <w:r>
        <w:t>- 9 -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w:t>
      </w:r>
    </w:p>
    <w:p>
      <w:r>
        <w:rPr>
          <w:b/>
        </w:rPr>
        <w:t>E. 6</w:t>
      </w:r>
    </w:p>
    <w:p>
      <w:r>
        <w:t>a) En l'occurrence, tant l'expertise bidisciplinaire du J.________ de septembre 2013 que celle réalisée par le Dr Z.________ au printemps 2015 ont conclu que la recourante disposait d'une pleine capacité de travail dans une activité adaptée à ses limitations fonctionnelles. La seule question qui demeure litigieuse est de savoir s'il y a lieu de tenir compte d'une diminution de rendement afin de prendre en considération les douleurs de la recourante, le Dr Z.________ ayant fait état d'une diminution de rendement de 25 % dans une activité adaptée. b) Compte tenu des difficultés, en matière de preuve, à établir l'existence de douleurs, les simples plaintes subjectives de la personne assurée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w:t>
      </w:r>
    </w:p>
    <w:p>
      <w:r>
        <w:t>- 10 - capacité de travail pouvant conduire à une invalidité (ATF 130 V 353 consid. 2.2.2 ; TFA I 382/00 du 9 octobre 2001 consid. 2b). c) A la suite de son accident, la recourante s'est plainte de la persistance de douleurs chroniques plus marquées à gauche qu'à droite (cf. rapport du Dr G.________, spécialiste en neurochirurgie, du 30 octobre 2014). Les recherches pour déterminer leur origine ont été vaines (cf. rapports des Drs S.________ du 18 décembre 2012, H.________ du 10 mars 2015 et W.________ du 27 avril 2015), les douleurs ressenties n’ayant pas pu être corrélées à un substrat organique objectivable. Dans ce contexte, seule une modification du traitement médicamenteux avec la prescription de séances de physiothérapie a été envisagée. S'agissant du diagnostic de douleurs persistantes dorsales et de la paroi thoracique prédominantes à gauche, le Dr Z.________ l'a fondé essentiellement sur les plaintes subjectives de la recourante. A la question 3.2 consistant à savoir si les troubles subjectifs pouvaient être objectivés, l'expert a notamment répondu que « [l]es plaintes ne peuvent pas être objectivées. L'assurée est néanmoins très gênée par ses douleurs qui sont présentes de façon continuelle d'intensité variable et qui ont des répercussions importantes dans sa vie quotidienne » (rapport d'expertise, p. 9). S'il a certes retenu une diminution de rendement dans l'exercice d'une activité adaptée, le Dr Z.________ a, en réponse à la question 7.4, employé une formulation conditionnelle (« […], on peut craindre une diminution du rendement dans une activité adaptée évaluée à 25% ») et, partant, fait preuve de réserve dans son appréciation (rapport d'expertise, p. 10). En réponse à la question 6.1, le Dr Z.________ a observé par ailleurs qu'« actuellement aucun traitement n'est en cours » et force est de constater que la demande de soins émanant de la recourante est peu importante. L'expert a néanmoins estimé qu'il était souhaitable que la recourante puisse faire des exercices de tonification de sa musculature para-vertébrale (rapport d'expertise, p. 9). Les options thérapeutiques envisagées impliquaient uniquement des mesures à visée apaisante destinées à atténuer l'impact quotidien des douleurs, ce qui confirmait la gravité limitée des troubles dont se plaignait la recourante. Dans son rapport complémentaire du 14 août 2015 à l'intention du médecin-conseil de l'intimée, le Dr Z.________ a</w:t>
      </w:r>
    </w:p>
    <w:p>
      <w:r>
        <w:t>- 11 - clairement nuancé le caractère objectif de ses constatations en indiquant que « en ce qui concerne les douleurs, vous n'êtes pas sans savoir qu'il y a peu de corrélation entre la symptomatologie douloureuse et les lésions visibles sur les radiographies. La cause exacte de douleurs intenses, dont votre assuré[e] se plaint, m'échappe ». d) En marge de ses observations, le Dr Z.________ a indiqué, en réponse à la question 7.2, que la recourante se trouvait dans un état psychologique qui ne lui permettait pas de surmonter ses douleurs (rapport d'expertise, p. 10), ce qui laisse à penser qu'une éventuelle surcharge psychogène (dépression) pouvait jouer un rôle dans la situation de la recourante. L'expert rhumatologue a encore précisé dans son rapport complémentaire du 19 novembre 2015 ne pas avoir d'argument pour suspecter que l'intéressée exagérait les symptômes, relevant néanmoins que la dépression « agit comme une loupe pour les douleurs ». Indépendamment de la question d'un éventuel rapport de causalité naturelle avec l'accident, question que l'on peut renoncer à examiner à ce stade, un rapport de causalité adéquate avec l'accident survenu le 24 août 2012 doit en tout état de cause être nié. aa) En cas d'atteinte à la santé physique,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w:t>
      </w:r>
    </w:p>
    <w:p>
      <w:r>
        <w:t>- 12 - causalité entre un accident de gravité moyenne et des troubles psychiques, il faut que soient réunis certains critères particuliers et objectifs dont les plus importants sont les suivants (ATF 115 V 133 consid. 6c/aa; 403 consid. 5c/aa ;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bb) Au regard de son déroulement et de ses conséquences immédiates, l'accident survenu le 24 août 2012 peut être rangé, d'un point de vue objectif, dans la catégorie des accidents de gravité moyenne. Il importe dès lors que plusieurs des critères consacrés par la jurisprudence se trouvent réunis ou revêtent une intensité particulière pour que cet accident soit tenu pour la cause adéquate des troubles psychiques dont souffre la recourante. En l'espèce, l'accident ne s'est pas déroulé dans des</w:t>
      </w:r>
    </w:p>
    <w:p>
      <w:r>
        <w:t>- 13 - circonstances qui peuvent être qualifiées de dramatiques ou impressionnantes : en traversant la route sur un passage piéton, la recourante a été heurtée par une voiture circulant à une vitesse de 10 km/h environ, puis a chuté au sol sans perdre connaissance. Acheminée au CHUV par ambulance, elle a pu quitter cet hôpital le jour même, les examens pratiqués n'ayant pas mis en évidence de fractures à ce moment-là, mais uniquement des hématomes circonscrits au niveau lombaire et de son bassin (coccyx). S'il y a lieu de constater que la recourante n'a, dans un premier temps, pas bénéficié du traitement adéquat au regard de la lésion subie (fracture-tassement du plateau supérieur de D12), le diagnostic ayant été posé tardivement, l'accident n'a pas non plus causé de lésions physiques objectivement graves susceptibles, d'après le cours ordinaire des choses et l'expérience de la vie, d'entraîner des troubles psychiques. Quant à la durée du traitement médical de la fracture – dont rien n'indique qu'il ait été entaché d'erreurs – , elle n'apparaît pas anormalement longue. Reste que la recourante a subi une incapacité de travail durable en raison de sa fracture et continue encore à se plaindre de douleurs subjectives aux niveaux thoraco- abdominale et sous-costale gauche d'intensité variable qui l'empêchent de reprendre une activité lucrative. Or, comme on l'a vu précédemment, celles-ci ne sont toutefois pas imputables à l'accident, mais semblent bien plutôt être en lien avec la surcharge psychogène sous-jacente (cf. rapport du Dr W.________ du 27 avril 2015 ; rapport d'expertise du Dr Z.________ du 31 juillet 2015, p. 10). cc) En présence d'un accident de gravité moyenne et en l’absence en l’espèce de cumul de circonstances à prendre en considération ou d’intensité particulière de celles-ci, il convient de nier l'existence d'un lien de causalité adéquate entre l'accident du 24 août 2012 et les éventuels troubles psychiques développés ensuite par la recourante. e) En définitive, la recourante n'a pas valablement remis en cause les conclusions médicales de la B.________. Se ralliant à l'avis de son médecin-conseil, l'intimée était donc fondée à retenir une capacité de</w:t>
      </w:r>
    </w:p>
    <w:p>
      <w:r>
        <w:t>- 14 - travail de l'assurée à 100 % dans une activité adaptée à son état de santé somatique, sans diminution de rendement. f) Sur le vu de ce qui précède, le dossier est complet, permettant ainsi à la Cour de statuer en pleine connaissance de cause sur ses aspects médicaux. Un complément d’instruction apparaît inutile et les requêtes d'audition de témoins et d'expertise orthopédique formulées en ce sens par la recourante le 14 novembre 2016 doivent dès lors être rejetées (appréciation anticipée des preuves ; ATF 131 I 153 consid. 3 ; 125 I 127 consid. 6c/cc).</w:t>
      </w:r>
    </w:p>
    <w:p>
      <w:r>
        <w:rPr>
          <w:b/>
        </w:rPr>
        <w:t>E. 7</w:t>
      </w:r>
    </w:p>
    <w:p>
      <w:r>
        <w:t>Il convient de déterminer à ce stade le préjudice économique de la recourante.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b) aa)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et I 1034/2006 du 6 décembre 2007 consid. 3.3.2.1). C'est pourquoi il se</w:t>
      </w:r>
    </w:p>
    <w:p>
      <w:r>
        <w:t>- 15 - déduit en principe du salaire réalisé en dernier lieu par la personne assurée avant l'atteinte à la santé, en tenant compte de l'évolution des salaires (ATF 134 V 322 consid. 4.1 ; TF 9C_719/2015 du 3 juin 2016 consid. 6.2). bb) Sur la base de l'extrait de son compte individuel AVS, la recourante percevait en 2011 un revenu annuel de 57'600 fr. comme gérante de kiosque. Compte tenu de la stabilité des revenus observée depuis 2009, il n'existe aucun indice laissant à penser que ce montant aurait subi des changements les années suivantes. Partant, il convient de retenir que le revenu sans invalidité de la recourante se serait élevé à 57'600 fr. en 2016. c) aa) Pour fixer le revenu d’invalide,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et 126 V 75 consid. 3b/aa; TF 8C_748/2008 du 10 juin 2009 consid. 2.1; FRÉSARD/MOSER-SZELESS, L’assurance-accidents obligatoire, in : Schweizerisches Bundesverwaltungsrecht, Soziale Sicherheit 3ème éd., Bâle 2016, n. 233 p. 978). Il s’agira en revanche de se fonder sur un revenu hypothétique lorsque l’assuré ne met pas – ou pas pleinement – à profit sa capacité de travail après l’accident (FRÉSARD/MOSER-SZELESS, op. cit., n. 234 p. 978). Dans ce cas, la jurisprudence a dégagé deux méthodes d’évaluation du revenu d’invalide, entre lesquelles le Tribunal fédéral a renoncé à donner la préférence; la première se fonde sur les données salariales publiées par l’Office fédéral de la statistique (OFS) dans l’Enquête suisse sur la structure des salaires (ESS) qui est publiée sur un rythme bisannuel, tandis que la seconde repose sur les données salariales résultant de descriptions de postes de travail (DPT) récoltées par la CNA (ATF 129 V 472 consid. 4.2.1 et les références citées; FRÉSARD/MOSER-SZELESS, op. cit., n. 236 à 241 p. 978 - 980).</w:t>
      </w:r>
    </w:p>
    <w:p>
      <w:r>
        <w:t>- 16 - bb) Constatant l'absence d'un revenu effectivement réalisé, l’intimée a fait application des données statistiques ressortant de l'ESS. Compte tenu de l'activité de substitution que pourrait exercer la recourante, le salaire de référence est celui auquel peuvent prétendre les femmes effectuant des tâches physiques ou manuelles simples dans le secteur privé (production et services), soit en 2014, 4'300 fr. par mois, part au 13ème salaire comprise (Enquête suisse sur la structure des salaires 2014, TA 1 niveau de qualification 1). Comme les salaires bruts standardisés tiennent compte d'un horaire de travail de quarante heures, soit une durée hebdomadaire inférieure à la moyenne usuelle dans les entreprises en 2014 (41,7 heures; Statistique de la durée normale du travail dans les entreprises, publiée par l'OFS, T03.02.03.01.04.01), le montant doit être porté à 4'482 fr. 75 (4'300 fr. x 41,7 / 40), soit un salaire annuel de 53'793 francs. Ce montant doit encore être adapté eu égard à l’évolution moyenne des salaires de 2014 à 2015 et de 2015 à 2016 (respectivement 0.4 % et 0.7 % ; Evolution des salaires nominaux, des prix à la consommation et des salaires réels, publiée par l'OFS, T39), ce qui donne un revenu de 54'386 fr. 20. Compte tenu par ailleurs d’un abattement de 10% en raison des limitations fonctionnelles de l'intéressée, on obtient un revenu d'invalide de 48'948 francs. d) La comparaison d'un revenu sans invalidité de 57'600 fr. avec un revenu d'invalide de 48'948 fr. aboutit à un degré d'invalidité de 15 %, taux qui ouvre le droit à une rente d'invalidité de l'assurance- accidents.</w:t>
      </w:r>
    </w:p>
    <w:p>
      <w:r>
        <w:rPr>
          <w:b/>
        </w:rPr>
        <w:t>E. 8</w:t>
      </w:r>
    </w:p>
    <w:p>
      <w:r>
        <w:t>et 10° (cf. rapports d'IRM des 2 et 8 novembre 2016 du Dr E.__________). Il convient par ailleurs de constater que l'intensité des douleurs fonctionnelles n'atteint pas un seuil justifiant de retenir un niveau de douleurs +++; la recourante a notamment indiqué que les douleurs ne la réveillaient pas au cours de la nuit (rapport d'expertise, p. 5), ce qui correspond bien plutôt à un niveau de douleurs ++ (cf. Table 7 d'indemnisation des atteintes à l'intégrité selon la LAA [atteinte à l'intégrité dans les affections de la colonne vertébrale]). En présence de douleurs fonctionnelles de niveau ++, la B.________ n'a nullement abusé de son pouvoir d'appréciation en retenant que la recourante pouvait</w:t>
      </w:r>
    </w:p>
    <w:p>
      <w:r>
        <w:t>- 19 - prétendre à une indemnité pour atteinte à l'intégrité fondée sur un taux de</w:t>
      </w:r>
    </w:p>
    <w:p>
      <w:r>
        <w:rPr>
          <w:b/>
        </w:rPr>
        <w:t>E. 10</w:t>
      </w:r>
    </w:p>
    <w:p>
      <w:r>
        <w:t>%. Il n'y a pas lieu de s'écarter de la décision attaquée sur ce point. 9. En définitive, le recours doit être partiellement admis et la décision entreprise réformée, en ce sens que la recourante est mise au bénéfice d'une rente d'invalidité de l'assurance-accidents de 15 %. a) Il n'y a pas lieu de percevoir de frais judiciaires, la procédure étant gratuite (cf. art. 61 let. a LPGA). b) Obtenant partiellement gain de cause, la recourante, assistée d'un mandataire professionnel, a droit à des dépens réduits (art. 61 let. g LPGA ; 55 al. 1 et 56 al. 2 LPA-VD, applicables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1'000 fr. à titre de dépens réduits,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