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ZA16.032081 vom 14. Februar 2019</w:t>
      </w:r>
    </w:p>
    <w:p>
      <w:r>
        <w:t>VD Tribunal cantonal, 2019-02-14, FR</w:t>
      </w:r>
    </w:p>
    <w:p>
      <w:r>
        <w:rPr>
          <w:b/>
        </w:rPr>
        <w:t xml:space="preserve">Quelle: </w:t>
      </w:r>
      <w:r>
        <w:t>https://mcp.opencaselaw.ch/entscheid/vd_gerichte_ZA16.032081</w:t>
      </w:r>
    </w:p>
    <w:p>
      <w:r>
        <w:t>FR: VD_GERICHTE ZA16.032081 du 14 février 2019</w:t>
      </w:r>
    </w:p>
    <w:p>
      <w:r>
        <w:t>IT: VD_GERICHTE ZA16.032081 del 14 febbraio 2019</w:t>
      </w:r>
    </w:p>
    <w:p>
      <w:pPr>
        <w:pStyle w:val="Heading2"/>
      </w:pPr>
      <w:r>
        <w:t>Erwägungen</w:t>
      </w:r>
    </w:p>
    <w:p>
      <w:r>
        <w:rPr>
          <w:b/>
        </w:rPr>
        <w:t>E. 30</w:t>
      </w:r>
    </w:p>
    <w:p>
      <w:r>
        <w:t>octobre 2018 établi par le Dr Cicotti, dont le contenu est le suivant: "C'est avec surprise que j'ai lu le rapport du SMR du 04/09/2018 de la Dre [...]. En effet au lieu de comprendre qu'en raison de sa culture (rejet des éléments psychiques, de la psychiatrie et des psychiatres) le patient a plus que tardé à consulter un psychiatre quand bien même il était très affecté psychiquement, elle en déduit (de façon injuste et erroné à notre sens) qu'il a consulté seulement suite de la décision Al. Chez ce patient l'aspect culturel est important (ethnopsychiatrie) pour comprendre son cheminement médical. Il a tout d'abord exprimé sa détresse psychique en la « calquant » sur des symptômes psychiques. Son état psychique s'est progressivement dégradé depuis juin 2012 (date de l'accident à l'épaule). Il ne consultait pas de psychiatre à ce moment-là mais son médecin traitant Dr [...] a pu constater l'aggravation progressive des symptômes pour lui conseiller finalement (et arriver à le convaincre malgré son opposition) de suivre ma consultation spécialisée. En résumé : il s'agit bien d'une maladie psychique en aggravation progressive et constante qui entraîne une incapacité de travail durable et ce depuis au minimum le début du suivi chez nous. Les diagnostics, limitations fonctionnelles et autres précisions sont dans mes rapports et sont inchangés à ce jour". Le dossier AI a été versé au dossier de la présente cause et les parties ont eu la faculté de le consulter.</w:t>
      </w:r>
    </w:p>
    <w:p>
      <w:r>
        <w:t>- 7 - Les parties ne se sont pas déterminées plus avant.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l’occurrence, le litige porte sur le droit du recourant à une rente d’invalidité de l’assurance-accidents, ainsi que sur la quotité de l’IPAI. c) On précisera que les modifications introduites par la novelle du 25 septembre 2015, entrée en vigueur le 1er janvier 2017 et modifiant</w:t>
      </w:r>
    </w:p>
    <w:p>
      <w:r>
        <w:t>- 8 -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d'abord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 à-dire qu'il se présente comme la condition sine qua non de celle-ci (ATF 129 V 177 consid. 3.1, 129 V 402 consid. 4.3.1).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b) Si l’assuré est invalide (art. 8 LPGA) à 10 % au moins par suite d’un accident, il a droit à une rente d’invalidité (art. 18 al. 1 LAA). Le</w:t>
      </w:r>
    </w:p>
    <w:p>
      <w:r>
        <w:t>- 9 -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w:t>
      </w:r>
    </w:p>
    <w:p>
      <w:r>
        <w:t>- 10 - base importante pour apprécier la question de savoir quelle activité peut encore être raisonnablement exigible de la part de la personne assurée (ATF 125 V 256 consid. 4, 115 V 133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w:t>
      </w:r>
    </w:p>
    <w:p>
      <w:r>
        <w:t>- 11 -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4. En l’espèce, l’ensemble des médecins consultés s’accorde à dire que le recourant ne peut plus travailler dans une activité de peintre en bâtiment. En revanche, la CNA, se fondant sur l’avis de son médecin- conseil, considère qu’il présente une pleine capacité de travail dans une activité adaptée à ses limitations fonctionnelles (pas de travail au-dessus de l’horizontale), ce que l’intéressé conteste. a) En juillet 2013, le recourant a repris une activité à 20% qui a pu être augmentée en novembre 2013 à 50%, avant d'être à nouveau diminuée en janvier 2014 à 25% en raison de douleurs à l'effort essentiellement. Lors de l'examen effectué par le médecin d'arrondissement en octobre 2014, celui-ci a trouvé des épaules souples, la droite étant néanmoins douloureuse à la mobilisation. Les tendons de la coiffe des rotateurs étaient tous fonctionnels, aussi bien à droite qu'à gauche. De ce côté, la mobilité active était pratiquement complète. Les IRM de l’épaule droite et de l’épaule gauche effectuées le 30 janvier 2014 montraient des coiffes de rotateurs en continuité. S’agissant de l’épaule gauche, aucun élément au dossier ne justifie de s’écarter de l’appréciation du médecin d'arrondissement, le Dr V.________, qui a considéré dans un rapport complémentaire du 26 novembre 2014 que cette épaule était stabilisée et que le traitement était terminé. En effet, aucun médecin ne le contredit. Certes, le recourant annonce dans des déterminations complémentaires du 2 décembre 2016 qu'il a consulté le Dr D.________ le 29 novembre 2016 et qu'une intervention chirurgicale à l'épaule gauche était nécessaire au vu des douleurs qu'il présentait. Cela étant, il ressort du rapport opératoire de l'intervention qui a eu lieu le 13 juillet 2018 que</w:t>
      </w:r>
    </w:p>
    <w:p>
      <w:r>
        <w:t>- 12 - le Dr D.________ est intervenu au niveau du coude gauche, et non pas de l'épaule gauche, pour une cure d'épicondylite. Quant aux douleurs à l’épaule droite, elles n’ont aucune origine accidentelle. Le Dr S.________ le rappelle dans un rapport du 31 mars 2014 à l’OAI (cf. point 1.4 « douleurs de l’épaule droite, apparues sans traumatisme »). Cette problématique n'a par conséquent pas à être prise en considération dans l’appréciation de la capacité de travail par la CNA (cf. consid. 3a supra). b) Le recourant allègue encore souffrir de dépression et produit à cet égard un rapport médical du 12 juin 2018, établi par le Dr [...] qui le.suit depuis mai 2017. Selon ce médecin, il est fort probable que les troubles psychiatriques sont présents depuis mai 2016 même si le recourant ne consultait pas de psychiatre à cette époque. On ne voit guère ce que le recourant entend déduire de cette information dans le cadre du présent litige. En effet, compte tenu du déroulement et de l'atteinte qu'elle a généré, l'événement accidentel assuré, à savoir la chute survenue le 1er juin 2012, doit être qualifiée d'accident de peu de gravité. Or, selon la jurisprudence relative aux troubles psychiques consécutifs à un accident de cette catégorie (ATF 115 V 133 consid. 6 et 403 consid. 5), l'existence d'une relation de causalité adéquate entre l'événement accidentel assuré et d’éventuels troubles psychiques subséquents peut être d'emblée niée. Toujours au plan psychiatrique, le recourant considère encore que la CNA aurait dû investiguer la présence d’un trouble somatoforme douloureux, compte tenu des douleurs qu’il présente à l’épaule gauche. En l’occurrence, en l’état du dossier, aucun élément ne permet de suspecter la présence d’un tel trouble, dont le lien de causalité avec l’accident ferait de toute façon défaut. C’est donc à juste titre que la CNA n’a pas investigué cette question, étant précisé qu’il n’appartient pas à l’assureur-accident de rechercher toutes les maladies dont pourrait être atteint un assuré avant de statuer.</w:t>
      </w:r>
    </w:p>
    <w:p>
      <w:r>
        <w:t>- 13 - Dans ces circonstances, la CNA était légitimée à considérer que l’assuré présente une pleine capacité de travail dans une activité adaptée. 5. Reste à examiner le degré d’invalidité présenté par le recourant, compte tenu de sa capacité résiduelle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 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w:t>
      </w:r>
    </w:p>
    <w:p>
      <w:r>
        <w:t>- 14 -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aa)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bb) En l'occurrence, l’intimée a déterminé le revenu d’invalide sur la base des données salariales résultant de cinq DPT, et a ainsi retenu un revenu de 60'864 francs. Le recourant fait valoir que ces DPT tiennent uniquement compte des limitations fonctionnelles de l’épaule gauche, mais non de la droite (déterminations du 2 décembre 2016). Elles ne prennent en outre pas en considération sa situation actuelle au plan</w:t>
      </w:r>
    </w:p>
    <w:p>
      <w:r>
        <w:t>- 15 - psychiatrique, avec la présence d’un éventuel trouble somatoforme douloureux. Le bien-fondé du choix des DPT opéré par l’intimée doit être examiné uniquement à la lumière des lésions se trouvant en lien de causalité avec l’accident de juin 2012. Or on l’a vu, les troubles que présente l’assuré à l’épaule droite n’ont pas d’origine accidentelle, de même que d'éventuelles pathologies psychiatriques, de sorte que la CNA n’avait pas à en tenir compte dans son analyse du revenu d’invalide. Pour le surplus, il convient de constater que dans le choix des DPT, la CNA a pris en compte la nécessité d’une activité légère et les limitations fonctionnelles liées à l’épaule gauche, déterminées par le Dr V.________ et non contestées par les autres médecins consultés. Les DPT choisies par la CNA ne sont donc pas critiquables. Cette dernière a en outre respecté les conditions imposées par la jurisprudence en la matière (cf. consid. 5c supra). Le revenu moyen d'invalide de 60’864 fr. retenu par l'intimée ne prête ainsi pas le flanc à la critique. d) aa)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et I 1034/2006 du 6 décembre 2007 consid. 3.3.2.1). C'est pourquoi il se déduit en principe du salaire réalisé en dernier lieu par la personne assurée avant l'atteinte à la santé, en tenant compte de l'évolution des salaires (cf. ATF 134 V 322 consid. 4.1 ; cf. TF 9C_719/2015 du 3 juin 2016 consid. 6.2). bb) En l'occurrence, pour déterminer le revenu sans invalidité du recourant, l'intimée a fait une moyenne des revenus perçus par l'intéressé entre 2010, 2011 et 2012, soit un montant de 61'769.-,</w:t>
      </w:r>
    </w:p>
    <w:p>
      <w:r>
        <w:t>- 16 - correspondant à un revenu mensuel moyen (12 mensualités) de 5'147 francs. La Cour de céans ne saurait cependant se rallier à l'approche retenue par l'intimée. En effet, quand bien même E.________ est gérant de X.________, il n'en demeure pas moins qu'il conserve un statut d'employé et qu'il est salarié de cette entreprise. Au surplus, il ne ressort pas du dossier que l'intéressé était assuré contre les accidents selon la LAA à titre facultatif, comme c'est normalement le cas des indépendants (art. 4 al. 1 LAA). Dès lors, il ne se justifie pas de s'écarter du principe dégagé par la jurisprudence selon lequel le salaire sans invalidité se déduit du salaire réalisé en dernier lieu par la personne assurée avant l'atteinte à la santé (consid. 5d supra). Or le dernier salaire perçu par le recourant avant l'accident du 1er juin 2012 s'élevait à 5'600 fr. brut en 2012 (cf. relevé fiduciaire 2012, établi le 11 décembre 2014), date de l'événement assuré, ce qui correspond au demeurant à ce qui a été déclaré à l'AVS cette même année, soit un salaire annuel de 67'200 fr. sans 13ème salaire (cf. extrait du compte individuel établi par la Caisse cantonale vaudoise de compensation). C'est d'ailleurs sur la base de ce salaire également que les indemnités journalières de l'assurance-accidents ont été calculées. Rien ne laisse à penser que sans invalidité, l'assuré n'aurait pas continué à percevoir ce revenu, dont le montant ne diffère au demeurant guère de celui garanti par la convention collective de travail du second œuvre (cf. selon info VD, le revenu minimum de la classe A, en 2013 se montait à 66'989 francs – réf. communication interne du 4 mars 2015, dossier OAI doc 76 – page 2). On ajoutera enfin que l’assuré était dans la troisième année de sa nouvelle activité et, que visiblement, sa société n'avait pas encore atteint son plein rendement. Le revenu réalisé en 2012 constitue vraisemblablement le minimum de ce que l’assuré pouvait dégager par son activité et il ne se justifie pas de le réduire en tenant compte des revenus réalisés durant les deux premières années d’activité. Au vu de ces considérations, il s'ensuit que le revenu sans invalidité doit être évalué sur la base du salaire de 5'600 fr. que le recourant réalisait concrètement au moment de son accident, ce qui</w:t>
      </w:r>
    </w:p>
    <w:p>
      <w:r>
        <w:t>- 17 - correspond à un revenu annuel de 67'200 fr. par année, étant précisé qu'il ne percevait pas de treizième salaire (cf. p. 125 et 127 du dossier LAA). Après indexation de ce montant à 2014 (+ 0,7% en 2013, + 0,8% en 2014 [Office fédéral de la statistique OFS, Evolution des salaires nominaux, des prix à la consommation et des salaires réels, 1990-2015)], on aboutit ainsi à un revenu sans invalidité de 68'211 francs. Cette appréciation a du reste le mérite de se rapprocher de celle retenue par l'OAI (cf. REA – Calcul du salaire exigible du 5 juillet 2016, pièce 123 du dossier AI), cet office ayant déterminé le salaire sans invalidité pour 2014 également (année d'ouverture du droit éventuel à la rente selon l'AI). La comparaison du revenu de valide (68'211 fr.) avec le revenu d'invalide déterminé sur la base des DPT (60’864 fr.) conduit à une perte de gain de 7'347 fr., ce qui correspond à un degré d'invalidité de 10,77 % (7347 / 68'211 x 100), taux suffisant pour ouvrir le droit de l'assuré à une rente d'invalidité (art. 18 LAA). L’état de santé de l’assuré a été considéré comme stabilisé à partir de du 1er février 2015 (cf. courrier du 19 décembre 2014 de la CNA), de sorte que le droit à la rente prend naissance à cette date (art. 19 LAA). 6. Finalement, il reste encore à examiner l’octroi d’une éventuelle IPAI. a) Selon l’art. 24 al. 1 LAA, l’assuré qui, par suite de l’accident, souffre d’une atteinte importante et durable à son intégrité physique, mentale ou psychique, a droit à une indemnité équitable pour atteinte à l’intégrité. Aux termes de l'art. 36 al. 1 OLAA (ordonnance sur l’assurance- 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w:t>
      </w:r>
    </w:p>
    <w:p>
      <w:r>
        <w:t>- 18 -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et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du montant maximum du gain assuré (ATF 124 V 29 consid. 1b et 113 V 218 consid. 2a). Il représente une "règle générale"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w:t>
      </w:r>
    </w:p>
    <w:p>
      <w:r>
        <w:t>- 19 - indicatives destinées à assurer autant que faire se peut l'égalité de traitement entre les assurés, elles sont compatibles avec l'annexe 3 à l'OLAA (ATF 124 V 209 consid. 4a/cc et 116 V 156 consid. 3a ; TF 8C_563/2014 du 12 janvier 2015 consid. 5.1) et permettent de procéder à une appréciation plus nuancée, lorsque l’atteinte d’un organe n’est que partielle. b) En l'espèce, dans son rapport du 20 octobre 2014, le Dr V.________, – seul médecin à s’être prononcé sur la question – a retenu que l’examen clinique de l'épaule gauche montrait une épaule souple, avec des tendons de la coiffe des rotateurs fonctionnels et une mobilité active pratiquement complète. Il a fixé le taux d'indemnisation de 5% en procédant par analogie conformément à l'annexe 3 ch. 1 OLAA, en se référant à une omarthrose débutante au motif que la bonne fonction de l'épaule était conservée. L'appréciation du Dr V.________ échappe à la critique, quoi qu'en dise l'assuré, ce d'autant qu'il n'est contredit par aucun autre médecin. 7. En définitive, le recours, bien fondé, doit être partiellement admis, ce qui entraîne la réforme de la décision entreprise, en ce sens que l’assuré est mis au bénéfice d’une rente d’invalidité de 10,77% dès le 1er février 2015. La conclusion relative à l'IPAI est en revanche rejetée. Vu l’issue de la procédure, la mise en œuvre d’une expertise et de toutes autres mesures d'instructions requises par le recourant n’apparaissent pas de nature à apporter un éclairage différent des éléments retenus ci-dessus et peuvent dès lors être écartées par appréciation anticipée des preuves (ATF 137 III 208 consid. 2.2 ; 135 II 286 consid. 5.1). 8. a) Le recourant voit ses conclusions partiellement admises, de sorte qu'il peut prétendre à une indemnité de dépens réduits à la charge de l'intimée. Il convient de fixer cette indemnité à 2'000 fr., compte tenu de l'importance et de la complexité du litige (art. 61 let. g LPGA).</w:t>
      </w:r>
    </w:p>
    <w:p>
      <w:r>
        <w:t>- 20 - b) Le recourant a par ailleurs été mis au bénéfice de l'assistance judiciaire, de sorte qu'une indemnité équitable au conseil juridique désigné d'office pour la procédure sera supportée par le canton, provisoirement (cf. art. 122 al. 1 let. a CPC [code fédéral de procédure civile du 19 décembre 2008 ; RS 272], applicable par renvoi de l'art. 18 al. 5 LPA-VD). Me Boschetti a produit le 23 novembre 2018 le relevé des opérations effectuées dans le cadre de la présente cause. Il a chiffré ses opérations à 21 heures et 30 minutes et ses débours à 50 francs. Cependant, après examen, le temps consacré à la réalisation de certaines activités paraît trop important eu égard à la complexité de la cause, si bien qu’il convient de réduire le nombre d’heures comme suit : 4 heures pour la rédaction du recours et des déterminations, dans la mesure où le recours contient huit pages, dont une page de garde, une page de conclusions, une page de mesures d'instruction et une page consacrée à la requête d'assistance judiciaire, et que les déterminations comprennent cinq pages, dont une page de garde et deux pages consacrées aux mesures d'instruction et aux conclusions. S’agissant du poste « suivi du dossier », au vu de la complexité de la cause, il sera réduit de 7 heures 30 à 5 heures 30. Quant aux lettres, on constate que le conseil d’office n’indique aucun détail s'agissant de la date de leur envoi, mentionnant uniquement qu’il a rédigé, notamment, 19 courriers à son client, 10 courriers à la Cour des assurances sociales, dont on ne retrouve pas l'équivalent au dossier, et 4 courriers à [...], soit un correspondant qui n'est manifestement pas partie à la présente procédure. Ce poste pour lequel l'avocat a consacré 4 heures 45 semble donc trop élevé, et doit ainsi être réduit à 3 heures. Afin de rapporter les heures dans une mesure raisonnable s'agissant des opérations utiles et nécessaires en l'espèce, le temps total consacré doit donc être réduit à 16 heures et 45 minutes. Partant, pour l'année 2017, il y a lieu de prendre en compte un total de 15 heures 6 minutes effectuées par Me Boschetti, au tarif horaire de 180 fr., soit 2'718 francs. A cette somme s'ajoute la TVA de 8% par 217 fr. 45, pour un total de 2'935 fr. 45. Concernant l'année 2018, les heures</w:t>
      </w:r>
    </w:p>
    <w:p>
      <w:r>
        <w:t>- 21 - de travail réalisées par Me Boschetti sont diminuées à 1 heures 40, pour un montant de 300 francs, plus la TVA de 7.7% par 23 fr. 10, soit 323 fr. 10 au total. Il y a encore lieu d'ajouter la somme de 50 fr. de débours, comprenant déjà la TVA. Au total, l'indemnité d'office doit ainsi être fixée à 3'308 fr. 55, débours et TVA compris. Cette indemnité étant partiellement couverte par les dépens à hauteur de 2'000 fr., le solde de 1'308 fr. 55 (3'308 fr. 55 – 2'000 fr.) est provisoirement supporté par le canton. Le recourant est rendu attentif au fait qu'il est tenu de rembourser ce dernier montant dès qu'il sera en mesure de le faire (cf. art. 123 al. CPC et 18 al. 5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