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ZA16.030774 vom 22. März 2018</w:t>
      </w:r>
    </w:p>
    <w:p>
      <w:r>
        <w:t>VD Tribunal cantonal, 2018-03-22, FR</w:t>
      </w:r>
    </w:p>
    <w:p>
      <w:r>
        <w:rPr>
          <w:b/>
        </w:rPr>
        <w:t xml:space="preserve">Quelle: </w:t>
      </w:r>
      <w:r>
        <w:t>https://mcp.opencaselaw.ch/entscheid/vd_gerichte_ZA16.030774</w:t>
      </w:r>
    </w:p>
    <w:p>
      <w:r>
        <w:t>FR: VD_GERICHTE ZA16.030774 du 22 mars 2018</w:t>
      </w:r>
    </w:p>
    <w:p>
      <w:r>
        <w:t>IT: VD_GERICHTE ZA16.030774 del 22 marzo 2018</w:t>
      </w:r>
    </w:p>
    <w:p>
      <w:pPr>
        <w:pStyle w:val="Heading2"/>
      </w:pPr>
      <w:r>
        <w:t>Erwägungen</w:t>
      </w:r>
    </w:p>
    <w:p>
      <w:r>
        <w:rPr>
          <w:b/>
        </w:rPr>
        <w:t>E. 3</w:t>
      </w:r>
    </w:p>
    <w:p>
      <w:r>
        <w:t>Les modifications de la LAA introduites par la novelle du 25 septembre 2015 (RO 2016 4375), entrée en vigueur le 1er janvier 2017, ne</w:t>
      </w:r>
    </w:p>
    <w:p>
      <w:r>
        <w:t>- 7 -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w:t>
      </w:r>
    </w:p>
    <w:p>
      <w:r>
        <w:rPr>
          <w:b/>
        </w:rPr>
        <w:t>E. 4</w:t>
      </w:r>
    </w:p>
    <w:p>
      <w:r>
        <w:t>a) En vertu de l’art. 10 al. 1 LAA (dans sa teneur au 31 décembre 2016), l’assuré a droit au traitement médical approprié des lésions résultant de l’accident, notamment au traitement ambulatoire dispensé par le médecin, le dentiste ou, sur leur prescription, par le personnel paramédical ainsi que, par la suite, par le chiropraticien (let. a). b) Le Conseil fédéral peut définir les prestations obligatoirement à la charge de l’assurance et limiter la couverture des frais de traitement à l’étranger. Il peut fixer les conditions auxquelles l’assuré a droit aux soins à domicile et la mesure dans laquelle ceux-ci sont couverts (art. 10 al. 3 LAA). Faisant usage de cette délégation de compétence, le Conseil fédéral a édicté l'art. 69 première phrase OLAA (ordonnance du 20 décembre 1982 sur l’assurance-accidents ; RS 832.202), selon lequel les art. 44, et 46 à 54 OAMal (ordonnance du 28 juin 1995 sur l’assurance-maladie ; RS 832.102) s'appliquent également au droit des chiropraticiens, des personnes prodiguant des soins sur prescription médicale et des organisations qui les emploient (personnel paramédical) et des laboratoires de pratiquer à la charge de l'assurance- accidents. c) En vertu de l’art. 46 OAMal (dans sa teneur en vigueur jusqu’au 30 juin 2017, applicable ratione temporis [ATF 138 V 176 consid. 7.1 ; TF 9C_951/2015 du 29 septembre 2016 consid. 4]), sont admises en tant que personnes prodiguant des soins sur prescription médicale les personnes suivantes qui exercent à titre indépendant et à leur compte : a. physiothérapeutes ; b. ergothérapeutes ; c. infirmières et infirmiers ; d. logopédistes/orthophonistes ; e. diététiciens (al. 1). Ces personnes doivent</w:t>
      </w:r>
    </w:p>
    <w:p>
      <w:r>
        <w:t>- 8 - être admises en vertu du droit cantonal et remplir les autres conditions d'admission fixées dans la présente ordonnance (al. 2). Le catalogue des fournisseurs de prestations admis à pratiquer à la charge de l’assurance obligatoire des soins au sens de l’art. 46 OAMal est exhaustif (ATF 126 V 330 consid. 1c ; TF 9C_183/2016 du 26 juin 2016 consid. 5.3.1 ; également TFA I 174/03 du 28 décembre 2004 consid. 5.2 in fine).</w:t>
      </w:r>
    </w:p>
    <w:p>
      <w:r>
        <w:rPr>
          <w:b/>
        </w:rPr>
        <w:t>E. 5</w:t>
      </w:r>
    </w:p>
    <w:p>
      <w:r>
        <w:t>En l’espèce, le recourant demande la prise en charge de ses frais d’ostéopathie suite à l’événement survenu le 19 juin 2012. La législation en matière d’assurance-accidents renvoie expressément aux dispositions légales de l’assurance-maladie s’agissant des soins sur prescription médicale (consid. 4b supra), dispositions qui énumèrent de manière exhaustive les personnes prodiguant lesdits soins (consid. 4c supra). On constate à la lecture de l’art. 46 OAMal que les ostéopathes ne figurent pas dans cette liste des personnes admises. Au vu du caractère exhaustif de la liste, aucune dérogation n’est possible. Les prestations litigieuses n’entrent ainsi pas dans le catalogue des prestations que l’assureur-accidents doit prendre en charge et l’intimée a refusé à juste titre de les rembourser.</w:t>
      </w:r>
    </w:p>
    <w:p>
      <w:r>
        <w:rPr>
          <w:b/>
        </w:rPr>
        <w:t>E. 6</w:t>
      </w:r>
    </w:p>
    <w:p>
      <w:r>
        <w:t>Le recourant invoque également une violation par l’intimée du principe de la bonne foi. 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(ATF 131 V 472 consid.</w:t>
      </w:r>
    </w:p>
    <w:p>
      <w:r>
        <w:t>- 9 - 5 et les références citées). De la même façon, le droit à la protection de la bonne foi peut aussi être invoqué en présence, simplement, d'un comportement de l'administration susceptible d'éveiller chez l'administré une attente ou espérance légitime (ATF 143 V 341 consid. 5.2.1).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143 V 341 consid. 5.2.1 et les références citées). b) Dans le cas d’espèce, le recourant ne saurait être protégé dans sa bonne foi. Quand bien même il s’est vu rembourser par l’intimée un certain nombre de séances d’ostéopathie, il convient de souligner que celles-ci ont été allouées « à bien plaire » (courrier du 24 octobre 2012). Le recourant ne saurait ainsi se prévaloir d’une assurance ou d’un comportement de l’assureur susceptible d’éveiller une attente ou une espérance légitime. En particulier, le courriel du 18 juillet 2012 de la société A.________ SA, dont le recourant se prévaut, précisait très clairement que l’assureur-accident devait au préalable accepter le cas et qu’il avait un pouvoir décisionnaire s’agissant de la prise en charge. Le recourant ne pouvait dès lors pas conclure à la lecture de ce courriel que</w:t>
      </w:r>
    </w:p>
    <w:p>
      <w:r>
        <w:t>- 10 - les frais d’ostéopathie allaient lui être remboursés. Le grief doit par conséquent être écarté.</w:t>
      </w:r>
    </w:p>
    <w:p>
      <w:r>
        <w:rPr>
          <w:b/>
        </w:rPr>
        <w:t>E. 7</w:t>
      </w:r>
    </w:p>
    <w:p>
      <w:r>
        <w:t>Enfin, il n’y a pas lieu de se prononcer, compte tenu de ce qui précède, sur le caractère accidentel ou non de l’événement du 19 juin 2012. En effet, en l’absence de conclusion – condamnatoire – tendant à la prise en charge de prestations, cette conclusion devient purement constatatoire. Or, une autorité ne peut rendre une décision de constatation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289 consid. 2.1). En l’occurrence, le recourant n’a pas d’intérêt digne de protection à une décision constatatoire, puisqu’il pourra toujours contester les motifs retenus par l’intimée pour nier le caractère accidentel de l’événement litigieux si cette question devait avoir une importance ultérieurement et qu’il a lui-même indiqué que sa situation était stabilisée (déterminations du 3 février 2017).</w:t>
      </w:r>
    </w:p>
    <w:p>
      <w:r>
        <w:rPr>
          <w:b/>
        </w:rPr>
        <w:t>E. 8</w:t>
      </w:r>
    </w:p>
    <w:p>
      <w:r>
        <w:t>Vu l’issue de la procédure, la mise en œuvre des mesures d’instruction requises par le recourant n’apparaît pas de nature à apporter un éclairage différent des éléments retenus ci-dessus et peut dès lors être écartée par appréciation anticipée des preuves (ATF 137 III 208 consid. 2.2 ; 135 II 286 consid. 5.1).</w:t>
      </w:r>
    </w:p>
    <w:p>
      <w:r>
        <w:rPr>
          <w:b/>
        </w:rPr>
        <w:t>E. 9</w:t>
      </w:r>
    </w:p>
    <w:p>
      <w:r>
        <w:t>a) En définitive, l’intimée n’a pas violé le droit fédéral en refusant la prise en charge des frais d’ostéopathie du recourant. Mal fondé, le recours doit en conséquence être rejeté, ce qui entraîne la confirmation de la décision attaquée. b) La procédure étant en principe gratuite (art. 61 let. a LPGA), il n’y a pas lieu de percevoir de frais judiciaires, ni d’allouer de dépens au vu de l’issue du litige (art. 61 let. g LPGA).</w:t>
      </w:r>
    </w:p>
    <w:p>
      <w:r>
        <w:t>- 11 - Par ces motifs, le juge unique p r o n o n c e : I. Le recours est rejeté. II. La décision rendue le 2 juin 2016 par la K.________ SA est confirmée. III. Il n’est pas perçu de frais judiciaires, ni alloué de dépens. Le juge unique : La greffière : Du L'arrêt qui précède est notifié à : - B.________, - K.________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- 12 -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