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ZA16.028885 vom 9. Mai 2019</w:t>
      </w:r>
    </w:p>
    <w:p>
      <w:r>
        <w:t>VD Tribunal cantonal, 2019-05-09, FR</w:t>
      </w:r>
    </w:p>
    <w:p>
      <w:r>
        <w:rPr>
          <w:b/>
        </w:rPr>
        <w:t xml:space="preserve">Quelle: </w:t>
      </w:r>
      <w:r>
        <w:t>https://mcp.opencaselaw.ch/entscheid/vd_gerichte_ZA16.028885</w:t>
      </w:r>
    </w:p>
    <w:p>
      <w:r>
        <w:t>FR: VD_GERICHTE ZA16.028885 du 9 mai 2019</w:t>
      </w:r>
    </w:p>
    <w:p>
      <w:r>
        <w:t>IT: VD_GERICHTE ZA16.028885 del 9 maggio 2019</w:t>
      </w:r>
    </w:p>
    <w:p>
      <w:pPr>
        <w:pStyle w:val="Heading2"/>
      </w:pPr>
      <w:r>
        <w:t>Erwägungen</w:t>
      </w:r>
    </w:p>
    <w:p>
      <w:r>
        <w:rPr>
          <w:b/>
        </w:rPr>
        <w:t>E. 19</w:t>
      </w:r>
    </w:p>
    <w:p>
      <w:r>
        <w:t>mars 2015. Ils reconnaissent néanmoins que la plupart des signes cliniques du SDRC sont apparus tardivement chez la recourante, avec pour conséquence qu’ils n’ont pu être observés que tardivement également. Cela étant, ils expliquent que la présentation clinique du SDRC est variable d’une personne à l’autre et que la présence des symptômes et signes cliniques peut différer au cours du temps. Ils citent à cet égard plusieurs extraits de publications médicales figurant dans le recueil de la CNA de 2013 (complément d’expertise p. 2-3). S’il est ainsi reconnu que les symptômes et signes cliniques peuvent être inconstants et variables, les auteurs du chapitre « Expertise » de ce recueil ne se prononcent cependant pas sur la question de la causalité en lien avec la variabilité de la symptomatologie clinique. Ceci dit, il faut rappeler que la question de savoir si des troubles sont en relation de causalité naturelle avec un événement accidentel est une question qui doit être résolue sur la base des appréciations médicales. De ce point de vue, le délai de latence de six à huit semaines entre l’accident et l’apparition des premiers symptômes typiques du SDRC reste pertinent en tant qu’il se fonde sur les connaissances médicales générales. Cependant, il est également médicalement admis que les symptômes cliniques du SDRC peuvent varier d’un cas à l’autre et dans le temps. Fort de ce constat, il convient d’interpréter le critère relatif à la période de latence en ce sens que, lorsque les symptômes typiques du SDRC se sont manifestés, au moins en partie, dans un délai de six à huit semaines, cela suffit à établir, au degré</w:t>
      </w:r>
    </w:p>
    <w:p>
      <w:r>
        <w:t>- 26 - de la vraisemblance prépondérante, un lien de causalité naturelle avec l’accident, pour autant que les deux autres critères soient remplis. En revanche, le fait que les symptômes typiques du SDRC n’apparaissent qu’après ce laps de temps ne signifie pas que tout lien de causalité naturelle avec l’accident doit être exclu. L’établissement d’un tel lien de causalité demeure possible, mais doit ressortir de documents médicaux au dossier, lesquels doivent permettre d’établir, au degré de la vraisemblance prépondérante, que le SDRC, malgré son apparition tardive, a été causé par l’accident. Or, en l’occurrence, une expertise judiciaire a été confiée aux Drs W.________ et Q.________, lesquels ont confirmé le diagnostic de SDRC et le fait qu’il existait un lien de causalité certain avec l’accident du 19 mars 2015, au motif notamment que les douleurs étaient apparues à la suite du traumatisme, qu’elles avaient persisté sans interruption, que les examens complémentaires mis en œuvre avaient permis d’exclure une autre cause et qu’un traumatisme par écrasement était décrit comme un facteur de risque d’un SDRC. Les experts ont rédigé leur rapport après avoir pris connaissance de l’ensemble du dossier de la recourante et de l’anamnèse, ils ont procédé à un examen clinique ainsi qu’à des évaluations en physiothérapie et en ergothérapie et ont posé leurs conclusions de manière détaillée et motivée. Il n’y a par conséquent aucune raison de s’écarter de leurs conclusions, ce d’autant qu’elles rejoignent les explications données par le Dr G.________ (cf. rapport du 14 mars 2017). e) Au vu de ce qui précède, il y a lieu de reconnaître l’existence d’un lien de causalité naturelle entre le SDRC dont souffre la recourante et l’événement assuré. Dans la mesure où il s’agit d’un trouble somatique, la causalité adéquate est également donnée. f) Compte tenu de la persistance des troubles présentés par la recourante en lien avec le SDRC, c’est à tort que l’intimée a décidé de mettre un terme au versement de ses prestations au 30 septembre 2015, puisque le statu quo ante n’était manifestement pas atteint à ce moment-</w:t>
      </w:r>
    </w:p>
    <w:p>
      <w:r>
        <w:t>- 27 - là. Il ne l’était pas non plus au moment de l’expertise (rapport, p. 9), un traitement étant d’ailleurs en cours pour améliorer les symptômes (rapport, p. 8). 7. Au vu de ce qui précède, il ne se justifie pas d’ordonner la production du rapport complet d’ENMG du Dr N.________ comme l’a requis l’intimée dans ses écritures des 10 février 2017 et 8 mai 2018, cette mesure d’instruction n’étant pas susceptible d’influencer le sort de la procédure (sur l’appréciation anticipée des preuves : ATF 140 I 285 consid. 6.3.1 ; 134 I 140 consid. 5.3 ; 130 II 425 consid. 2.1). 8. a) Le recours est par conséquent admis et la décision sur opposition litigieuse réformée en ce sens que l’intimée est tenue de prendre en charge les frais résultant du SDRC à la main droite de la recourante au-delà du 30 septembre 2015.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4’000 fr.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