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ZA16.027653 vom 6. Februar 2017</w:t>
      </w:r>
    </w:p>
    <w:p>
      <w:r>
        <w:t>VD Tribunal cantonal, 2017-02-06, FR</w:t>
      </w:r>
    </w:p>
    <w:p>
      <w:r>
        <w:rPr>
          <w:b/>
        </w:rPr>
        <w:t xml:space="preserve">Quelle: </w:t>
      </w:r>
      <w:r>
        <w:t>https://mcp.opencaselaw.ch/entscheid/vd_gerichte_ZA16.027653</w:t>
      </w:r>
    </w:p>
    <w:p>
      <w:r>
        <w:t>FR: VD_GERICHTE ZA16.027653 du 6 février 2017</w:t>
      </w:r>
    </w:p>
    <w:p>
      <w:r>
        <w:t>IT: VD_GERICHTE ZA16.027653 del 6 febbraio 2017</w:t>
      </w:r>
    </w:p>
    <w:p>
      <w:pPr>
        <w:pStyle w:val="Heading2"/>
      </w:pPr>
      <w:r>
        <w:t>Erwägungen</w:t>
      </w:r>
    </w:p>
    <w:p>
      <w:r>
        <w:rPr>
          <w:b/>
        </w:rPr>
        <w:t>E. 3</w:t>
      </w:r>
    </w:p>
    <w:p>
      <w:r>
        <w:t>a) En vertu de l'art. 6 LAA, les prestations d'assurance sont allouées en cas d'accident professionnel, d'accident non professionnel et de maladie professionnelle (al. 1). b)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122 V 230 consid. 1 ; TF 8C_767/2012 du 18 juillet 2013 consid. 3.1). Le facteur doit être extérieur en ce sens qu'il doit s'agir d'une cause externe et non interne au corps humain (ATF 139 V 327 consid. 3.3.1 ; Jean-Maurice Frésard/Margit Moser-Szeless, L'assurance-accidents obligatoire, in Soziale Sicherheit [SBVR] vol. XIV, Bâle/Genève/Munich 2016, p. 921 n° 88). Il résulte de la définition même de l'accident que le</w:t>
      </w:r>
    </w:p>
    <w:p>
      <w:r>
        <w:t>- 10 -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la référence citée ; TF 8C_292/2014 du 18 août 2014 consid. 5.1). c) Le recourant allègue une amplification des acouphènes consécutive à la chute d’un outil métallique le 23 novembre 2015. Cet évènement ne saurait être qualifié d’accident, le critère du facteur extérieur extraordinaire n’étant pas réalisé. Cet outil est tombé d’une table de travail sur un plateau de bois. Lâcher ou faire tomber involontairement un outil de la hauteur d’une table constitue un incident banal, survenant couramment dans de multiples activités professionnelles, ce qui exclut de le qualifier d’extraordinaire, même s’il provoque un effet de surprise.</w:t>
      </w:r>
    </w:p>
    <w:p>
      <w:r>
        <w:rPr>
          <w:b/>
        </w:rPr>
        <w:t>E. 4</w:t>
      </w:r>
    </w:p>
    <w:p>
      <w:r>
        <w:t>Cela étant, il convient d’examiner si les acouphènes et l’hyperacousie peuvent être qualifiés de maladies professionnelles. a) Selon l'art. 9 al. 1 LAA, sont réputées maladies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Les substances nocives et les maladies dues à certains travaux au sens de cette disposition sont énumérées à l'annexe 1 de l'OLAA (art. 14 OLAA [ordonnance du 20 décembre 1982 sur l’assurance- accidents ; RS 832.202]). Les lésions importantes de l’ouïe dues aux travaux exposant au bruit figurent dans la seconde liste de l’annexe 1 de l’OLAA.</w:t>
      </w:r>
    </w:p>
    <w:p>
      <w:r>
        <w:t>- 11 - b) Aux termes de l'art. 9 al. 2 LAA, sont aussi réputées maladies professionnelles (selon la clause dite générale) les autres maladies dont il est prouvé qu'elles ont été causées exclusivement ou de manière nettement prépondérante par l'exercice de l'activité professionnelle. Selon la jurisprudence, cette condition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que compte la population en général (ATF 126 V 183 consid. 2b, 119 V 200 consid. 2b, 116 V 136 consid. 5c ; RAMA 2000 n° U 408 p. 407 ; TF 8C_585/2013 du 15 septembre 2014 consid. 3.1, 8C_165/2007 du 5 mars 2008 consid. 3.1). Cette clause générale répond au besoin de combler d'éventuelles lacunes qui subsisteraient dans la liste selon l'art. 9 al. 1 LAA (ATF 116 V 136 consid. 5a).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(ATF 126 V 183 consid. 4c et les références ; TF 8C_585/2013 du 15 septembre 2014 consid. 3.2).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(TF 8C_585/2013 du 15 septembre 2014 consid. 4). C’est qu’il importe, pour conférer pleine valeur probante à un rapport médical, que les points litigieux importants</w:t>
      </w:r>
    </w:p>
    <w:p>
      <w:r>
        <w:t>- 12 -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 déterminant, pour la valeur probante, n’est ni l’origine du moyen de preuve, ni sa désignation comme rapport ou comme expertise, mais bel et bien son contenu (ATF 134 V 231 consid. 5.1, 125 V 351 consid. 3a ; TF 9C_1023/2008 du 30 juin 2009 consid. 2.1.1).</w:t>
      </w:r>
    </w:p>
    <w:p>
      <w:r>
        <w:rPr>
          <w:b/>
        </w:rPr>
        <w:t>E. 5</w:t>
      </w:r>
    </w:p>
    <w:p>
      <w:r>
        <w:t>a) Le recourant souffre d’hyperacousie et d’acouphènes. L’hyperacousie se caractérise par un seuil de tolérance au bruit anormalement bas ; certains sons ou niveaux sonores, qui ne sont pas perçus comme forts ou désagréables par les personnes présentant une audition normale, sont pénibles et/ou douloureux pour l'hyperacousique. Ces sons peuvent, en outre, aggraver le niveau d'hyperacousie, créer des acouphènes ou augmenter leur intensité s'ils sont déjà présents (source : wikipedia). b) L’audiogramme tonal pratiqué par la Dresse K.________ a révélé une ouïe normale des deux côtés. Une maladie professionnelle au sens de l’art. 9 al. 1 LAA est ainsi exclue, en l’absence de lésions importantes de l’ouïe dues aux travaux exposant au bruit. Par ailleurs, selon des études scientifiques (TF U 231/02 du 10 juin 2003 consid. 5.5.), la valeur limite du bruit dangereux pour l’ouïe est de 85 dB. Or, les niveaux d’exposition au bruit mesurés sur les deux postes de travail du recourant atteignaient 83 dB et 75 dB, soit des valeurs inférieures à celle réputée scientifiquement dangereuse pour l’ouïe et à celles retenues actuellement par la CNA pour imposer l’instauration de mesures de protection de l’ouïe (appréciation technique du 14 mars 2016). Il peut en être déduit que l’activité et le poste professionnels confiés au recourant au sein de l’entreprise X.________ SA n’entraînaient pas intrinsèquement le risque d’une lésion importante de son ouïe.</w:t>
      </w:r>
    </w:p>
    <w:p>
      <w:r>
        <w:t>- 13 - c) Seule entre donc en ligne de compte une éventuelle autre maladie professionnelle au sens de l’art. 9 al. 2 LAA, singulièrement si les acouphènes et l’hyperacousie ont été causés à 75 % au moins par l’exercice de l’activité professionnelle, en l’occurrence celle de monteur dans le secteur de la fabrication de machines. Deux études fondées sur des populations importantes ont démontré que les acouphènes s’observent très fréquemment dans la population. Plus de vingt-cinq pour cent (25,3 %) des adultes américains ont des acouphènes et 7,9 % de la population en font souvent l’expérience (Shargorodsky, Curhan, &amp; Farwell 2010). Dans une enquête norvégienne portant sur plus de cinquante mille adultes, 21,3 % des hommes et 16,2 % des femmes ont déclaré être gênés par leurs acouphènes, dont respectivement 4,4 % et 2,1 %, rapportaient des acouphènes de forte intensité (Krog, Engdahl, &amp; Tambs 2010) (source : https://www.france- acouphenes.org/index.php/pathologies/recherche/73-recherche-sur-l- acouphene-quoi-de-neuf-berthold-langguth). Au vu des résultats de ces études, les acouphènes peuvent être qualifiés d’atteinte relativement banale et fréquente et la preuve d’une causalité qualifiée ne pourrait être apportée qu’en présence d’acouphènes survenant chez plus 80 % des travailleurs employés dans le secteur de la fabrication de machines. Aucune étude scientifique ne le démontre et le recourant ne l’allègue pas. Peu d'études épidémiologiques à grande échelle ont été effectuées afin d’évaluer la fréquence de l'hyperacousie. Selon des études menées en 2003 et 1999 (source : https://fr.wikipedia.org/wiki/Hyperacousie) l’hyperacousie pourrait toucher</w:t>
      </w:r>
    </w:p>
    <w:p>
      <w:r>
        <w:rPr>
          <w:b/>
        </w:rPr>
        <w:t>E. 9</w:t>
      </w:r>
    </w:p>
    <w:p>
      <w:r>
        <w:t>% des Suédois et 15,2 % des Polonais. Cette affection n’est pas rare et la preuve de la causalité qualifiée impliquerait sa survenance chez plus d’un tiers au moins des travailleurs employés dans le secteur litigieux, ce qu’aucune étude scientifique ne démontre non plus.</w:t>
      </w:r>
    </w:p>
    <w:p>
      <w:r>
        <w:t>- 14 - La Liste des maladies professionnelles de l’OIT, dans sa version révisée en 2010 (source : http://www.ilo.org/wcmsp5/groups/public/--- ed_protect/---protrav/--- safework/documents/publication/wcms_125160.pdf) figurant dans la Recommandation n° 194, au demeurant non contraignante pour les états membres, ne mentionne que le déficit auditif causé par le bruit (ch. 1.2.1 de l’Annexe) et en l’espèce, aucun déficit de l’ouïe n’a été mis en évidence par l’audiogramme tonal. d) Reste à déterminer si la chute d’un objet métallique survenue le 23 novembre 2015 a atteint les valeurs limites pour être considérée comme dangereuse pour l’ouïe. Un évènement sonore bref caractérisé par une haute valeur de crête de la pression acoustique (p. ex. coups, détonations, explosions) est qualifié de bruit impulsif. Si le niveau de pression acoustique de crête L dépasse 135 dB(C), il est nécessaire peak d’évaluer les risques auditifs (source : SUVAPro, annexe et http://www.schallundlaser.ch/fr/pdf/suva_bruit_travail.pdf). A contrario, un niveau de pression acoustique de crête L peak inférieur à 135 dB(C) n’est pas présumé entraîner un risque auditif. En l’espèce, le collaborateur de la CNA a exclu que l’incident du 23 novembre 2015 ait entraîné un niveau de pression acoustique de crête L dépassant 135 dB(C). Cette appréciation est convaincante au peak vu de la comparaison avec l’exposition à un tir de fusil d’assaut à une distance d’un mètre d’une oreille, qui ne constitue pas encore un bruit impulsif selon les indices de mesure précités. Il est manifeste que la chute d’un objet métallique, de surcroît sur une surface en bois propice à l’amortissement du choc et du bruit, ne saurait entraîner un bruit supérieur à celui du tir avec un fusil d’assaut. 6. Le recourant se prévaut encore des rapports de ses médecins traitants pour soutenir l’existence d’une relation de causalité entre ses atteintes et l’exposition au bruit dans le cadre de son travail chez X.________ SA.</w:t>
      </w:r>
    </w:p>
    <w:p>
      <w:r>
        <w:t>- 15 - Selon la jurisprudence, le seul fait que des symptômes ne se sont manifestés qu'après la survenance d'un accident ne suffit pas à établir un rapport de causalité naturelle avec cet accident (non-application du raisonnement «post hoc ergo propter hoc» ; ATF 119 V 335 consid. 2b/bb ; TF 8C_42/2009 du 1er octobre 2009 consid. 2.2). Cette jurisprudence est transposable aux autres maladies professionnelles au sens de l’art. 9 al. 2 LAA. Ainsi, il ne suffit pas que les acouphènes et l’hyperacousie se manifestent pour la première fois dans le cadre d’une activité professionnelle, même bruyante, pour imputer leur cause à cette activité. Il faut au contraire, comme exposé sous consid. 3b ci-dessus, qu’il existe une relation de causalité qualifiée. Or, les médecins traitants du recourant ne se sont pas prononcés sur la prévalence des acouphènes et hyperacousie dans l’activité professionnelle de leur patient. Celui-ci ne démontre par ailleurs pas que les monteurs actifs dans le secteur de fabrication de machines seraient quatre fois plus exposés aux acouphènes et à l’hyperacousie que la population en général. 7. Vu ce qui précède, l’intimée était fondée à refuser au recourant tout droit à des prestations à raison des troubles présentés depuis le 14 septembre 2015. Le recours, mal fondé, doit dès lors être rejeté et la décision sur opposition litigieuse confirmée. a) La procédure étant gratuite, il n'est pas perçu de frais de justice (art.61 let. a LPGA). b) Par ailleurs, le recourant, qui n’obtient pas gain de cause, n’a pas droit à des dépens. Quoique l’intimée obtienne en revanche gain de cause, elle ne saurait prétendre des dépens de la part du recourant. En effet, selon la</w:t>
      </w:r>
    </w:p>
    <w:p>
      <w:r>
        <w:t>- 16 - jurisprudence, l’assureur social qui obtient gain de cause devant une juridiction de première instance n’a pas droit à des dépens, sous réserve du cas où le demandeur a agi de manière téméraire ou témoigné de légèreté (art. 61 let. g LPGA ; ATF 126 V 143 consid. 4), ce qui n’est pas réalisé en l’espèce. En outre, la CNA, en sa qualité d’assureur social, dispose d’un service juridique interne susceptible de la représenter dans l’accomplissement de ses tâches de droit public (ATF 134 V 340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