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ZA16.022279 vom 22. November 2016</w:t>
      </w:r>
    </w:p>
    <w:p>
      <w:r>
        <w:t>VD Tribunal cantonal, 2016-11-22, FR</w:t>
      </w:r>
    </w:p>
    <w:p>
      <w:r>
        <w:rPr>
          <w:b/>
        </w:rPr>
        <w:t xml:space="preserve">Quelle: </w:t>
      </w:r>
      <w:r>
        <w:t>https://mcp.opencaselaw.ch/entscheid/vd_gerichte_ZA16.022279</w:t>
      </w:r>
    </w:p>
    <w:p>
      <w:r>
        <w:t>FR: VD_GERICHTE ZA16.022279 du 22 novembre 2016</w:t>
      </w:r>
    </w:p>
    <w:p>
      <w:r>
        <w:t>IT: VD_GERICHTE ZA16.022279 del 22 novembre 2016</w:t>
      </w:r>
    </w:p>
    <w:p>
      <w:pPr>
        <w:pStyle w:val="Heading2"/>
      </w:pPr>
      <w:r>
        <w:t>Erwägungen</w:t>
      </w:r>
    </w:p>
    <w:p>
      <w:r>
        <w:rPr>
          <w:b/>
        </w:rPr>
        <w:t>E. 1</w:t>
      </w:r>
    </w:p>
    <w:p>
      <w:r>
        <w:t>Sur la dent 16, pilier postérieur du pont, nous voyons une atteinte parodontale majeure qui était déjà présente en novembre 2014, soit 6 mois avant l'accident.</w:t>
      </w:r>
    </w:p>
    <w:p>
      <w:r>
        <w:rPr>
          <w:b/>
        </w:rPr>
        <w:t>E. 2</w:t>
      </w:r>
    </w:p>
    <w:p>
      <w:r>
        <w:t>Vu l'importance de cette parodontite, la dent était perdue. De plus, du fait de manque de tissu de soutien autour de cette dent, cette dernière ne pouvait plus faire office de soutien pour ce pont. Il en résultait une surcharge importante pour l'autre pilier à savoir, la dent 14.</w:t>
      </w:r>
    </w:p>
    <w:p>
      <w:r>
        <w:rPr>
          <w:b/>
        </w:rPr>
        <w:t>E. 3</w:t>
      </w:r>
    </w:p>
    <w:p>
      <w:r>
        <w:t>Sur la dent 14, nous constatons un traitement radiculaire incomplet et un foyer périapical important. L'absence d'obturation radiculaire peut très bien être la cause du foyer périapical.</w:t>
      </w:r>
    </w:p>
    <w:p>
      <w:r>
        <w:rPr>
          <w:b/>
        </w:rPr>
        <w:t>E. 3.1</w:t>
      </w:r>
    </w:p>
    <w:p>
      <w:r>
        <w:t>; 126 V 353 consid. 5b ; 117 V 359 consid. 4a ; TF 8C_976/2012 du 28 novembre 2013 consid. 3.1 ; Jean-Maurice Frésard/Margit Moser-Szeless, L’assurance-accident obligatoire, in Schweizerisches Bundesverwaltungsrecht [SBVR], Soziale Sicherheit, 3e éd., Bâle 2016, n. 104 p. 929). c) Le droit à des prestations découlant d'un accident assuré implique également l'existence d'un lien de causalité adéquate entre l'événement accidentel et l'atteinte à la santé. La causalité doit être</w:t>
      </w:r>
    </w:p>
    <w:p>
      <w:r>
        <w:t>- 12 -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w:t>
      </w:r>
    </w:p>
    <w:p>
      <w:r>
        <w:rPr>
          <w:b/>
        </w:rPr>
        <w:t>E. 3.2</w:t>
      </w:r>
    </w:p>
    <w:p>
      <w:r>
        <w:t>; ATF 125 V 456 consid. 5a et les références citées ; TF 8C_710/2008 du 28 avril 2009 consid. 2). 4. a)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b)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 également TF 9C_236/2015 du 2 décembre 2015 consid. 4). Ce dernier constat a été précisé par le Tribunal fédéral, lequel a relevé en substance que l'appréciation de la situation médicale d'un</w:t>
      </w:r>
    </w:p>
    <w:p>
      <w:r>
        <w:t>- 13 -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9C_853/2011 du 27 juin 2012 consid. 3.2 et I 81/07 du 8 janvier 2008 consid. 5.2). Cependant,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VSI 2001 p. 106 consid. 3b/bb et cc).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Dans une procédure portant sur l’octroi ou le refus de prestations d’assurances sociales, lorsqu’une décision administrative s’appuie exclusivement sur l’appréciation d’un médecin interne à</w:t>
      </w:r>
    </w:p>
    <w:p>
      <w:r>
        <w:t>- 14 -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w:t>
      </w:r>
    </w:p>
    <w:p>
      <w:r>
        <w:rPr>
          <w:b/>
        </w:rPr>
        <w:t>E. 4</w:t>
      </w:r>
    </w:p>
    <w:p>
      <w:r>
        <w:t>En ce qui concerne la fissure longitudinale constatée sur la photo, celle-ci peut très bien résulter de la surcharge subie par cette dent du fait du problème parodontal de la dent 16.</w:t>
      </w:r>
    </w:p>
    <w:p>
      <w:r>
        <w:rPr>
          <w:b/>
        </w:rPr>
        <w:t>E. 5</w:t>
      </w:r>
    </w:p>
    <w:p>
      <w:r>
        <w:t>a) En l'espèce, il n'est pas contesté que l'événement du 14 avril 2015 constitue un accident au sens de l'art. 4 LPGA. b) Il convient dès lors d'examiner s'il existe un lien de causalité naturelle et adéquate entre la chute de l'intéressée et les lésions constatées à sa dent n° 14. Dans les rapports des 27 janvier et 4 avril 2016, le Dr V.________ a exposé que la lésion périapicale présente sur la dent n° 14 était à mettre en relation avec le traitement de racine incomplet. Il a justifié son assertion en indiquant qu'il était bien connu que l'absence d'obturation étanche favorisait la recolonisation bactérienne. Quant à la fracture de la racine, il a indiqué qu'elle pouvait très bien s'expliquer par la surcharge occlusale exercée sur cette dent, suite aux problèmes parodontaux constatés sur la dent n° 16. Il a ajouté que les fractures suite à un choc latéral étaient toujours transversales, et non longitudinales. La Dresse N.________ soutient, quant à elle, qu'il existe un lien de causalité entre la chute de la recourante et les lésions constatées sur sa dent n° 14. La suivant régulièrement, elle a attesté qu'avant l'accident, cette dent était asymptomatique. Cette praticienne a indiqué qu'une obturation endodontique insuffisante ne pouvait expliquer la fracture radiculaire et qu'il était ainsi cohérent de mettre en relation cette fracture avec le choc subi. De même, le Dr F.________ a aussi relevé que, même si le traitement de racine de la dent n° 14 était incomplet, l'état de cette dent</w:t>
      </w:r>
    </w:p>
    <w:p>
      <w:r>
        <w:t>- 15 - était asymptomatique et non évolutif depuis de nombreuses années. Il a retenu que c'était le choc qui avait causé la perte de cette dent, provoquant une fracture de la racine, puis une infection. Les avis médicaux sont ainsi contradictoires sans que l'on puisse déterminer quelles conclusions doivent être suivies. Le dossier ne permet dès lors pas de statuer en pleine connaissance de cause.</w:t>
      </w:r>
    </w:p>
    <w:p>
      <w:r>
        <w:rPr>
          <w:b/>
        </w:rPr>
        <w:t>E. 6</w:t>
      </w:r>
    </w:p>
    <w:p>
      <w:r>
        <w:t>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compte tenu des contradictions évoquées ci-dessus, il se justifie de renvoyer la cause à l’intimée – à qui il appartient au premier chef d’instruire, conformément au principe inquisitoire qui régit</w:t>
      </w:r>
    </w:p>
    <w:p>
      <w:r>
        <w:t>- 16 - la procédure dans le domaine des assurances sociales selon l’art. 43 al. 1 LPGA –, pour qu’elle en complète l’instruction sur le plan médical sous la forme d'une expertise conformément à la procédure prévue par l’art. 44 LPGA. Il appartiendra ensuite à l’intimée, sur la base de cette expertise, de rendre une nouvelle décision.</w:t>
      </w:r>
    </w:p>
    <w:p>
      <w:r>
        <w:rPr>
          <w:b/>
        </w:rPr>
        <w:t>E. 7</w:t>
      </w:r>
    </w:p>
    <w:p>
      <w:r>
        <w:t>a) En conclusion, le recours, bien fondé, doit être admis et la décision attaquée annulée, la cause étant renvoyée à l’intimée pour complément d’instruction au sens des considérants et nouvelle décision. b) La procédure étant gratuite (art. 61 let. a LPGA), il n’y a pas lieu de percevoir de frais judiciaires. c) La recourante obtenant gain de cause et étant représentée par un mandataire professionnel, elle peut prétendre à une indemnité de dépens. Le montant doit être déterminé, sans égard à la valeur litigieuse, d'après l'importance et la complexité du litige (art. 61 let. g LPGA ; également art. 10 et 11 TFJDA [tarif du 28 avril 2015 des frais judiciaires et des dépens en matière administrative ; RSV 173.36.5.1]). En l'espèce, il y a lieu d'arrêter le montant des dépens à 1'000 fr. à la charge de l'intimée qui succombe (art. 55 al. 2 LPA-VD).</w:t>
      </w:r>
    </w:p>
    <w:p>
      <w:r>
        <w:t>- 17 - Par ces motifs, la juge unique p r o n o n c e : I. Le recours est admis. II. La décision sur opposition rendue le 11 avril 2016 par R.________ est annulée, la cause lui étant renvoyée pour complément d’instruction dans le sens des considérants puis nouvelle décision. III. Il n’est pas perçu de frais judiciaires. IV. R.________ versera à J.________ une indemnité de dépens de 1'000 fr. (mille francs). La juge unique : La greffière : Du L'arrêt qui précède est notifié à : - CAP Compagnie d’Assurance de Protection Juridique SA (pour J.________) - R.________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- 18 -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