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ZA16.017461 vom 18. Oktober 2017</w:t>
      </w:r>
    </w:p>
    <w:p>
      <w:r>
        <w:t>VD Tribunal cantonal, 2017-10-18, FR</w:t>
      </w:r>
    </w:p>
    <w:p>
      <w:r>
        <w:rPr>
          <w:b/>
        </w:rPr>
        <w:t xml:space="preserve">Quelle: </w:t>
      </w:r>
      <w:r>
        <w:t>https://mcp.opencaselaw.ch/entscheid/vd_gerichte_ZA16.017461</w:t>
      </w:r>
    </w:p>
    <w:p>
      <w:r>
        <w:t>FR: VD_GERICHTE ZA16.017461 du 18 octobre 2017</w:t>
      </w:r>
    </w:p>
    <w:p>
      <w:r>
        <w:t>IT: VD_GERICHTE ZA16.017461 del 18 ottobre 2017</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w:t>
      </w:r>
    </w:p>
    <w:p>
      <w:r>
        <w:t>- 6 - VD) et prévoit à cet égard la compétence de la Cour des assurances sociales du Tribunal cantonal (art. 93 let. a LPA-VD). b) En l’espèce, le recours a été déposé en temps utile compte tenu des féries pascales 2016 (art. 38 al. 4 let. a LPGA) et respecte pour le surplus les autres conditions de forme prévues par la loi (art. 61 let. b LPGA notamment), de sorte qu'il est recevable.</w:t>
      </w:r>
    </w:p>
    <w:p>
      <w:r>
        <w:rPr>
          <w:b/>
        </w:rPr>
        <w:t>E. 2</w:t>
      </w:r>
    </w:p>
    <w:p>
      <w:r>
        <w:t>a) Le litige porte sur le seul point de savoir si l'événement litigieux constitue un accident ou une lésion assimilée à un accident au sens de l'art. 9 al. 2 OLAA (ordonnance sur l'assurance-accidents du 20 décembre 1982 ; RS 832.202). En revanche, le litige ne porte pas, en l'état du dossier, sur la nature et l'étendue des éventuelles prestations à allouer. b) On précisera que les modifications introduites par la novelle du 25 septembre 2015, entrée en vigueur le 1er janvier 2017 (cf. ch. 1 des dispositions transitoires relatives à cette modification [RO 2016 4388]) ne sont pas applicables au cas d'espèce (cf. aussi ATF 136 V 24 consid. 4.3 ; 130 V 445 consid. 1.2.1 ; 129 V 1 consid. 1.2 ; TF 9C_446/2013 du 21 mars 2014 consid. 4.2).</w:t>
      </w:r>
    </w:p>
    <w:p>
      <w:r>
        <w:rPr>
          <w:b/>
        </w:rPr>
        <w:t>E. 3</w:t>
      </w:r>
    </w:p>
    <w:p>
      <w:r>
        <w:t>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le cas échéant, l'atteinte dommageable doive être qualifiée de maladie (ATF 142 V 219 consid. 4.3.1, 129 V 402 consid. 2.1, 122 V 232 consid. 1; RAMA 1986 n° K 685 p. 299 consid. 2).</w:t>
      </w:r>
    </w:p>
    <w:p>
      <w:r>
        <w:t>- 7 -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 corps humain qui agit.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coordonné », cf. FRÉSARD/MOSER-SZELESS, in : Schweizerisches Bundesverwaltungsrecht, Soziale Sicherheit [SBVR], 3ème éd., Bâle 2016, n° 99 p. 925).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w:t>
      </w:r>
    </w:p>
    <w:p>
      <w:r>
        <w:t>- 8 - maladie, le mouvement non coordonné doit en apparaître comme la cause directe selon des circonstances particulièrement évidentes (cf. RAMA 1999 n° U 345 p. 422 consid. 2b et les références).</w:t>
      </w:r>
    </w:p>
    <w:p>
      <w:r>
        <w:rPr>
          <w:b/>
        </w:rPr>
        <w:t>E. 4</w:t>
      </w:r>
    </w:p>
    <w:p>
      <w:r>
        <w:t>A teneur de l'art. 6 al. 2 LAA, dans sa version en vigueur jusqu'au 31 décembre 2016,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Cette liste est exhaustive (ATF 139 V 327 consid. 3.1).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w:t>
      </w:r>
    </w:p>
    <w:p>
      <w:r>
        <w:t>- 9 -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(TF 8C_194/2015 du 11 août 2015 consid. 3 et la référence). Cette réglementation a pour but d'éviter, au profit de l'assuré, la distinction souvent difficile entre maladie et accident. L'assureur-</w:t>
      </w:r>
    </w:p>
    <w:p>
      <w:r>
        <w:t>- 10 - 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 TF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w:t>
      </w:r>
    </w:p>
    <w:p>
      <w:r>
        <w:rPr>
          <w:b/>
        </w:rPr>
        <w:t>E. 9</w:t>
      </w:r>
    </w:p>
    <w:p>
      <w:r>
        <w:t>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5. a) Dans la déclaration complétée le 9 juillet 2015, l'employeur a annoncé à l'intimé que « Mme P.________ s'est tordu le pied sur une petite rampe en béton entre la route et le trottoir ». Lors de son entretien du 7 septembre 2015 avec un inspecteur de sinistres de S.________, la recourante a déclaré : « Le 30 mai 2015, je me trouvais à [...] à l'avenue du [...]. Je sortais du salon de toilettage « [...] » avec le chien de ma maman, car celle-ci était à l'Hôpital. Alors que je lui donnais l'ordre de monter dans la voiture (en marchant en direction de ma voiture), mon dernier pas a été sur une rampe en béton qui se trouvait contre le trottoir et la route. Mon pied était en position horizontale par rapport à la rampe. Et mon pied s'est tordu (de gauche à droite) ». Dans l'opposition du 21</w:t>
      </w:r>
    </w:p>
    <w:p>
      <w:r>
        <w:t>- 11 - octobre 2015, le conseil de l'intéressée a donné la version suivante des événements : Inattentive, elle a posé son pied droit, dans le sens de sa longueur, partiellement sur le trottoir, et partiellement dans le vide, étant précisé qu'une petite rampe à 45 % environ est accolée au bord du trottoir pour faciliter vraisemblablement les livraisons. C'est ce qu'il faut comprendre lorsqu'elle a indiqué dans le rapport de visite du 7 septembre 2015 : « Mon pied était en position horizontale par rapport à la rampe ». En audience du 11 septembre 2017, la recourante a expliqué avoir effectué un faux pas en faisant monter le chien de sa maman dans son véhicule au sortir du magasin de toilettage. Se dirigeant en direction de sa voiture stationnée au bord d'un trottoir où il y avait une rampe mais dont elle n'avait pas vu l'existence lorsqu'elle s'était arrêtée, c'était après l'ouverture de la porte arrière qu'elle avait posé son pied sur le bord du trottoir, à moitié dans le vide. Son pied était donc parallèle à la voiture. Il avait craqué dans l'exécution du mouvement. Malgré la douleur, l'intéressée avait pris son véhicule et était allée rejoindre sa maman à l'hôpital. b) De l'ensemble de ces éléments, il ressort que le geste effectué par la recourante — soit une torsion inattendue de la cheville de gauche à droite — l'a été à la suite d'un mauvais positionnement de son pied droit sur le bord du trottoir, avec un vide entre ce dernier et la petite rampe accolée. En l'absence d'une cause externe au corps humain (chute, coup, glissade, mouvement réflexe, etc.) ayant modifié de manière anormale le déroulement naturel du mouvement (« mouvement non coordonné »), il convient de retenir l'absence d'un facteur extérieur extraordinaire à l'origine de l'incident, comme l'a constaté à juste titre l'intimée dans sa décision. En appuyant sur son pied alors que celui-ci reposait partiellement dans le vide, l'assurée a sollicité son articulation du pied de manière plus élevée que la normale du point de vue physiologique et a dépassé ce qui est normalement maîtrisé d’un point de vue psychologique. Dans un arrêt du 5 août 2008, le Tribunal fédéral a d'ailleurs jugé que si le fait de marcher sur un trottoir constitue un geste de la vie courante, il n'en va pas de même de l'acte qui consiste à se tordre le pied ensuite d'un faux pas, situation où il y a lieu d'admettre</w:t>
      </w:r>
    </w:p>
    <w:p>
      <w:r>
        <w:t>- 12 - l'influence d'un facteur extérieur dommageable et partant, une lésion corporelle assimilée à un accident au sens de l'art. 9 al. 2 OLAA (TF 8C_822/ 2007 du 5 août 2008 consid. 3.2 ; voir également TF 8C_40/2017 du 11 avril 2017 consid. 6). L’exigence d’un facteur dommageable extérieur est ainsi donnée dans le cas particulier. Contrairement à ce que soutient l'intimée, la présence d'éventuelles lésions dégénératives n'est pas décisive, dès lors qu'il existe un facteur extérieur qui est l'élément déclencheur de la lésion subie par la recourante à sa cheville droite (TFA U 222/05 du 21 mars 2006 consid. 6.2 et les références citées). Force est dès lors d’admettre que la recourante a subi une lésion assimilée à un accident. 6. Au regard de la question litigieuse, les compléments d’instructions requis par la recourante étaient inutiles, si bien que la requête d'expertise comme la demande de productions des dossiers des médecins consultés doivent être rejetées (appréciation anticipée des preuves ; ATF 134 I 140 consid. 5.3, 131 I 153 consid. 3 et 125 I 127 consid. 6c/cc). 7. Au vu de ce qui précède, il y a lieu d'admettre le recours, d'annuler la décision entreprise et de retourner le dossier à l'intimée afin qu'elle examine si les autres conditions du droit aux prestations sont remplies. a) Il n'y a pas lieu de percevoir de frais judiciaires, la procédure étant gratuite (cf. art. 61 let. a LPGA). b) Obtenant gain de cause, la recourante, assistée d'un mandataire professionnel, a droit à des dépens (art. 61 let. g LPGA ;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w:t>
      </w:r>
    </w:p>
    <w:p>
      <w:r>
        <w:t>- 13 - casu, l’importance et la complexité du litige justifient l’allocation d’une indemnité de 2'500 fr. à titre de dépens,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