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ZA16.011563 vom 4. Dezember 2019</w:t>
      </w:r>
    </w:p>
    <w:p>
      <w:r>
        <w:t>VD Tribunal cantonal, 2019-12-04, FR</w:t>
      </w:r>
    </w:p>
    <w:p>
      <w:r>
        <w:rPr>
          <w:b/>
        </w:rPr>
        <w:t xml:space="preserve">Quelle: </w:t>
      </w:r>
      <w:r>
        <w:t>https://mcp.opencaselaw.ch/entscheid/vd_gerichte_ZA16.011563</w:t>
      </w:r>
    </w:p>
    <w:p>
      <w:r>
        <w:t>FR: VD_GERICHTE ZA16.011563 du 4 décembre 2019</w:t>
      </w:r>
    </w:p>
    <w:p>
      <w:r>
        <w:t>IT: VD_GERICHTE ZA16.011563 del 4 dicembre 2019</w:t>
      </w:r>
    </w:p>
    <w:p>
      <w:pPr>
        <w:pStyle w:val="Heading2"/>
      </w:pPr>
      <w:r>
        <w:t>Erwägungen</w:t>
      </w:r>
    </w:p>
    <w:p>
      <w:r>
        <w:rPr>
          <w:b/>
        </w:rPr>
        <w:t>E. 12</w:t>
      </w:r>
    </w:p>
    <w:p>
      <w:r>
        <w:t>décembre 2008. Il nous semble par contre que l'évaluation de</w:t>
      </w:r>
    </w:p>
    <w:p>
      <w:r>
        <w:t>- 18 - l'invalidité a été sous-estimée par le médecin représentant l'assurance et surestimée par le médecin traitant le patient. 5. Causalité état antérieur 5.1 Est-ce que l'accident du 12 décembre 2008 est une cause au moins partielle des troubles actuels ? En d'autres termes peut-on admettre que selon toute vraisemblance, les troubles en question n'existeraient pas ou existeraient dans une moindre mesure si l'accident ne s'était pas produit ? L'accident du 12 décembre 2008 a décompensé une épaule fragile qui se serait inexorablement décompensée au vu des lésions pré- existantes importantes et de l'activité du patient. Nous ne pouvons en effet pas affirmer que, sans cet accident du 12 décembre 2008, le patient aurai (sic) huit ans plus tard une épaule indolore et fonctionnelle. Les troubles partiels imputables à l'accident du 12 décembre 2008 sont liés à l'atteinte du tendon sous-scapulaire qui ne présentait pas d'insuffisance majeure lors du testing réalisé lors de notre examen clinique. Nous estimons l'invalidité à 20%. Nous justifions ce chiffre car selon les tables de la SUVA, une épaule mobile jusqu'à l'horizontal équivaut à un 15% d'invalidité, or dans ce cas nous en sommes à la moitié (45°), et une luxation invétérée (non réduite) équivaut à une invalidité de 25%. Nous pensons donc que le taux d'atteinte à l'intégrité représente 20%, la situation de Monsieur N.________ se situant entre ces deux situations. L'atteinte à l'intégrité attribuable à l'accident est de 5% sur les 20% liés à son handicape (sic) fonctionnel actuel. 5.2 Des facteurs extérieurs jouent-ils un rôle ? Si oui, lesquelles et dans quelle mesure (en pourcent) ? Les facteurs extérieurs à l'accident sont l'état pré-existant de la coiffe des rotateur à hauteur de 20% (cf. 5.1). 5.3 En cas de réponse positive à la question 5.2, quelle était exactement l'incidence de ces facteurs extérieurs sur la vie professionnelle et privée de l'expertisé à la veille de l'accident ? Il n'y avait alors pas de répercussion sur la vie professionnelle et privée du patient. 6. Atteinte à l'intégrité 6.1 L'état définitif est-il atteint ? Oui, l'état est stabilisé, l'accident datant de fin 2008 avec un état clinique stable depuis plus de deux ans. 6.2 Si oui, existe-il, au sens de l'article 24 LAA et 36 OLAA une atteinte définitive et importante de l'intégrité qui n'existerait pas, selon toute vraisemblance, si l'accident du 12 décembre 2008 n'avait pas eu lieu ? Le cas échéant, veuillez déterminer le taux de l'atteinte à l'intégrité selon l'annexe 3OLAA et les tables de la SUVA en tenant compte des aggravations auxquelles il faut s'attendre ? Non, nous estimons qu'au vu de l'atteinte déjà avancée de la lésion il y a huit ans, cette dernière serait d'une manière certaine devenue symptomatique et se serait étendue. La part attribuable à l'accident est tout au plus de 5%. 6.3 Pour quel motif vous écartez-vous, le cas échéant, de l'avis médical de vos confrères, au sujet de l'expertisé.</w:t>
      </w:r>
    </w:p>
    <w:p>
      <w:r>
        <w:t>- 19 - Le Dr Z.________ estime que l'épaule présente une restriction légère de la mobilité correspondant à une invalidité de 10%. Lors de notre examen clinique, l'épaule était pseudoparalytique avec une élévation antérieure tant active que passive à 45°, une rotation externe coude au corps à 0° avec un rappel automatique à 20° et une rotation interne main dans le dos limitée au sacrum. Ceci correspond non pas à une restriction légère mais à une restriction très importante de la mobilité de cette épaule, d'où le pourcentage de 20% d'invalidité. Nous nous rapprochons donc du chiffre de 25% proposé par le Docteur G.________, ce dernier correspondant à une luxation invétérée de l'épaule, ce qui ne reflète pas la condition de Monsieur N.________. Nous estimons que l'accident est responsable de 5% de ces 20%. » Le recourant s’est déterminé le 4 octobre 2017 et a indiqué maintenir les conclusions de son recours. Il sollicitait toutefois la possibilité de retirer son recours si la CASSO devait retenir une IPAI inférieure à celle fixée dans la décision litigieuse. La CNA s’est déterminée le 6 octobre 2017. Elle a maintenu que l’IPAI devait être fixée à 10 %. E n d r o i t : 1. a) Le présent arrêt fait suite à un arrêt de renvoi du 1er mars 2016, aux termes duquel l’intimée avait pour injonction de mettre en œuvre une expertise judiciaire uniquement sur la question de l’IPAI, dès lors que les divergences d’opinions quant au rôle joué par l’accident, respectivement par l’état antérieur, dans la survenance de l’atteinte à la santé constatée chez le recourant (correspondant à une périarthrite scapulo-humérale grave) étaient telles qu’elles ne permettaient pas de trancher la question de la réduction éventuelle de l’IPAI. b) Selon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w:t>
      </w:r>
    </w:p>
    <w:p>
      <w:r>
        <w:t>- 20 - l'autorité de recours, laquelle ne saurait, de son côté, revenir sur sa décision à l'occasion d'un recours subséquent (cf. par exemple TF 9C_350/2011 du 3 janvier 2012 consid. 4.1). En l’occurrence, seule reste litigieuse la question d’une éventuelle réduction de l’IPAI accordée au recourant. 2. Par décision du 17 novembre 2011, confirmée par décision sur opposition du 4 janvier 2012, la CNA a octroyé au recourant une IPAI de 10% (12'600 fr.) calculée sur un gain annuel de 126'000 francs. Celui-ci réclame une IPAI de 25%, soit une différence de 15% par rapport à l’IPAI octroyée, ce qui correspond à 18'900 francs (31'500 fr. - 12'600 fr.). La valeur litigieuse étant inférieure à 30'000 fr., la cause est de la compétence du juge unique (art. 94 al. 1 let. a LPA-VD). 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4. a) Selon l'art. 24 al. 1 LAA (loi fédérale du 20 mars 1981 sur l’assurance-accidents ; RS 832.20), l'assuré qui souffre d'une atteinte importante et durable à son intégrité physique, mentale ou psychique par suite de l'accident a droit à une indemnité équitable pour atteinte à l'intégrité. Aux termes de l'art. 36 al. 1 OLAA (ordonnance du 20 décembre</w:t>
      </w:r>
    </w:p>
    <w:p>
      <w:r>
        <w:t>- 21 - 1982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209 consid. 4a/bb ; TF 8C_566/2017 du 8 mars 2018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En cas de concours de plusieurs atteintes à l'intégrité, dues à un ou plusieurs accidents, l'indemnité est fixée d'après l'ensemble du dommage (art. 36 al. 3, première phrase, OLAA). b) Selon l’art. 25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(al. 2). 5. En l’occurrence, l’expert judiciaire a relevé que l’arthro-IRM réalisée en janvier 2009 avait révélé une infiltration graisseuse des sus et sous-épineux. Il rejoint tant le Dr Z.________ que le Dr G.________ lorsqu’il en conclut qu’il existait une atteinte préalable des tendons sus et sous-</w:t>
      </w:r>
    </w:p>
    <w:p>
      <w:r>
        <w:t>- 22 - épineux. S’agissant du sous-scapulaire, l’expert est d’avis que la lésion le concernant paraissait traumatique et récente, susceptible de décompenser de manière durable une lésion préexistante de la coiffe des rotateurs, l’infiltration graisseuse de certains muscles de la coiffe démontrant qu’il existait déjà plusieurs lésions alors asymptomatiques. L’expert constate la persistance de douleurs importantes (diurnes et nocturnes) et d’impotence fonctionnelle. La lésion massive de la coiffe des rotateurs non réparable correspond à une atteinte de l’intégrité physique. Il estime qu’il est justifié de prendre en considération l’état préexistant. Il chiffre à 20 % l’atteinte actuelle (la perte complète d’un membre supérieur correspondant à une IPAI de 50 %). Il relève cependant que seule la lésion de la partie haute du tendon sous-scapulaire était en relation avec l’accident. Il estime en conséquence l’IPAI à 5 %. Dans ses déterminations sur l’expertise, l’intimée maintient que l’IPAI doit rester fixée à 10 %. Il faut relever que lorsqu’il a arrêté l’IPAI à 10 %, le Dr S.________ n’a guère motivé ce taux. Dans son avis du 2 octobre 2012, le Dr Z.________ relève que le taux de 10 % correspond à une péritarthrite scapulo-humérale moyenne et que cette atteinte se fonde sur une omathrose de même degré (cf. tableau 1 - Atteinte à l'intégrité résultant de troubles fonctionnels des membres supérieurs). Il estime juste ce taux si l’on se fonde sur les constatations radiologiques tout en soulignant que le Dr S.________ n’a pas procédé à une réduction. Il considère toutefois que cliniquement, s’agissant de la fonctionnalité, on est en présence d’une périarthrite scapulo-humérale grave, comme le Dr G.________ l’a exprimé, mais qu’il faudrait opérer une déduction de 2/3 pour tenir compte de l’état préexistant, ce qui reviendrait à fixer l’IPAI à un taux inférieur à 10 %. L’expert est d’avis que la lésion du sous-scapulaire est récente, rejoignant sur ce point l’avis du Dr G.________. Les médecins de la CNA sont moins affirmatifs et estiment qu’il n’est pas possible de le déterminer. En l’occurrence, il n’y a pas de raison de s’écarter de l’avis de l’expert judiciaire qui est convaincant. En effet, celui-ci repose sur un raisonnement bien construit et étayé. Il tient compte des avis des</w:t>
      </w:r>
    </w:p>
    <w:p>
      <w:r>
        <w:t>- 23 - dZ.________ et G.________, tout en les nuançant et en expliquant pour quelles raisons il s’en écarte. L’expert J.________ retient au final un taux de 5%, dans la mesure où seule la lésion de la partie haute du tendon sous- scapulaire peut être vraisemblablement imputée à l’accident. Cela étant, il est renoncé, dans le cas présent, à une reformatio in pejus (ATF 144 V 153 consid. 4.2.4), si bien que le taux de 10% doit être maintenu. 6. a) Compte tenu de ce qui précède, le recours doit être rejeté, ce qui entraîne la confirmation de la décision litigieuse. b) Il n’y a pas lieu de percevoir de frais judiciaires, la procédure étant gratuite (art. 61 let. a LPGA), ni d’allouer de dépens, dès lors que le recourant n’obtient pas gain de cause (art. 61 let. g LPGA). c) Le recourant, qui succombe, ayant été mis au bénéfice de l’assistance judiciaire par décision de la juge instructrice du 23 novembre 2012, son conseil d’office, Me Muriel Vauthier, a droit à une rémunération équitable assumée par le canton (art. 122 al. 1 let. a CPC [code de procédure civile du 19 décembre 2008 ; RS 272] par renvoi de l’art. 18 al. 5 LPA-VD [loi du 28 octobre 2008 sur la procédure administrative ; BLV 173.36]). Me Vauthier a produit sa liste des opérations le 3 décembre 2019, totalisant 11 heures et 30 minutes. Ces opérations étant justifiées, l’indemnité de Me Vauthier est arrêtée de la manière suivante : 1'980 fr. (11h x 180 fr.) s’agissant des opérations réalisées en 2016 et 2017, montant auquel il convient d’ajouter un montant forfaitaire de débours par 5 % du défraiement hors taxe (art. 3bis al. 1 RAJ [règlement cantonal du 7 décembre 2010 sur l’assistance judiciaire en matière civile ; BLV 211.02.3]) ainsi que la TVA par 8%, soit un total de 2'245 fr. 30 (1'980 fr. + 99 fr. [1'980 fr. x 5%] + 166 fr. 30 [2'079 fr. x 8%]) et 90 fr. pour ce qui est des opérations réalisées en 2019, montant auquel il convient également d’ajouter un montant forfaitaire de débours par 5% ainsi que la TVA par 7.7%, soit un total de 101 fr. 80 (90 fr. + 4 fr. 50 [90 fr. x 5%] + 7 fr. 30 [94 fr. 50 x 7.7%]). Les deux montants précités additionnés totalisent 2'347 fr. 10 (2'245 fr. 30 + 101 fr. 80).</w:t>
      </w:r>
    </w:p>
    <w:p>
      <w:r>
        <w:t>- 24 - La rémunération du conseil d’office est provisoirement assumée par le canton, le recourant étant rendu attentif au fait qu’il est tenu de rembourser le montant dès qu’il est en mesure de le faire (art. 123 CPC par renvoi de l’art. 18 al. 5 LPA-VD). Il incombe au Service juridique et législatif de fixer les modalités de remboursement (art. 5 RAJ), en tenant compte des montants éventuellement payés à titre de franchise ou d’acomptes par le recourant. Par ces motifs, la juge unique p r o n o n c e : I. Le recours est rejeté. II. La décision sur opposition rendue le 4 janvier 2012 par la Caisse nationale suisse d’assurance en cas d’accidents est confirmée. III. Il n’est pas perçu de frais judiciaires, ni alloué de dépens. IV. L’indemnité d’office de Me Muriel Vauthier, conseil du recourant N.________, est arrêtée à 2'347 fr. 10, débours et TVA compris. V. Le bénéficiaire de l’assistance judiciaire est, dans la mesure de l’art. 123 CPC applicable par renvoi de l’art. 18 al. 5 LPA-VD, tenu au remboursement de l’indemnité du conseil d’office mis à la charge de l’Etat. La juge unique : La greffière : Du</w:t>
      </w:r>
    </w:p>
    <w:p>
      <w:r>
        <w:t>- 25 - L'arrêt qui précède est notifié à : - Me Muriel Vauthier (pour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