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ZA16.006120 vom 26. Juni 2017</w:t>
      </w:r>
    </w:p>
    <w:p>
      <w:r>
        <w:t>VD Tribunal cantonal, 2017-06-26, FR</w:t>
      </w:r>
    </w:p>
    <w:p>
      <w:r>
        <w:rPr>
          <w:b/>
        </w:rPr>
        <w:t xml:space="preserve">Quelle: </w:t>
      </w:r>
      <w:r>
        <w:t>https://mcp.opencaselaw.ch/entscheid/vd_gerichte_ZA16.006120</w:t>
      </w:r>
    </w:p>
    <w:p>
      <w:r>
        <w:t>FR: VD_GERICHTE ZA16.006120 du 26 juin 2017</w:t>
      </w:r>
    </w:p>
    <w:p>
      <w:r>
        <w:t>IT: VD_GERICHTE ZA16.006120 del 26 giugno 2017</w:t>
      </w:r>
    </w:p>
    <w:p>
      <w:pPr>
        <w:pStyle w:val="Heading2"/>
      </w:pPr>
      <w:r>
        <w:t>Erwägungen</w:t>
      </w:r>
    </w:p>
    <w:p>
      <w:r>
        <w:rPr>
          <w:b/>
        </w:rPr>
        <w:t>E. 1</w:t>
      </w:r>
    </w:p>
    <w:p>
      <w:r>
        <w:t>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w:t>
      </w:r>
    </w:p>
    <w:p>
      <w:r>
        <w:t>- 11 - En l’espèce, formé en temps utile et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Est litigieuse, en l’occurrence, la question du taux de la rente et de l’IPAI accordé à la recourante ensuite de l’accident du 10 novembre 2012 au regard des atteintes à sa santé, plus particulièrement la question du lien de causalité entre dit accident et les troubles que la recourante présente au membre supérieur droit. En effet, la recourante ne conteste pas l’évaluation médicale de l’atteinte au membre supérieur gauche et des conséquences sur sa capacité de travail, de même que le taux d’invalidité et de l’IPAI qui découlent de cette seule atteinte. Elle reproche uniquement à l’intimée de ne pas avoir tenu compte de l’atteinte à son membre supérieure droit.</w:t>
      </w:r>
    </w:p>
    <w:p>
      <w:r>
        <w:rPr>
          <w:b/>
        </w:rPr>
        <w:t>E. 3</w:t>
      </w:r>
    </w:p>
    <w:p>
      <w:r>
        <w:t>Aux termes de l’art. 6 al. 1 LAA, si la loi n’en dispose pas autrement, les prestations d’assurance sont allouées en cas d’accident</w:t>
      </w:r>
    </w:p>
    <w:p>
      <w:r>
        <w:t>- 12 -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(dans sa teneur en vigueur jusqu’au 31 décembre 2016),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4</w:t>
      </w:r>
    </w:p>
    <w:p>
      <w:r>
        <w:t>a)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 129 V 402 consid. 4.3.1 ; 119 V 335 consid. 1 et 118 V 286 consid. 1b et les références ; TF 8C_377/2009 du 18 février 2010 consid. 5.1). Si l’on peut admettre que l’accident n’a fait que déclencher un processus qui serait de toute manière survenu sans cet événement, le lien</w:t>
      </w:r>
    </w:p>
    <w:p>
      <w:r>
        <w:t>- 13 - de causalité naturelle entre les symptômes présentés et l’accident doit être nié lorsque l’état de l’assuré est revenu au stade où il se trouvait avant l’accident (statu quo ante) ou s’il est parvenu au stade d’évolution qu’il aurait atteint sans l’accident (statu quo sine ; TF 8C_726/2008 du 14 mai 2009 consid. 2.3 et les références ; Jean-Maurice FRÉSARD/Margit MOSER-SZELESS, L’assurance-accidents obligatoire, in : Schweizerisches Bundesverwaltungsrecht, 2e éd., Bâle 2007, n° 80 p. 865) ; le seul fait que des symptômes douloureux ne se sont manifestés qu’après la survenance d’un accident ne suffit pas à établir un rapport de causalité naturelle avec cet accident (raisonnement « post hoc ergo propter hoc » ; cf. ATF 119 V 335 consid. 2b/bb ; TF 8C_6/2009 du 30 juillet 2009 consid. 3). Il convient en principe d’en rechercher l’étiologie et de vérifier, sur cette base, l’existence du rapport de causalité avec l’événement assuré (TF 8C_262/2008 du 11 février 2009 consid. 2.2).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et 129 V 177 consid. 3.1 et les références). b) Le droit à des prestations découlant d’un accident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et 125 V 456 consid. 5a et les références). L’existence d’un rapport de causalité adéquate est une question de droit ; elle doit être appréciée sous l’angle juridique et tranchée par l’administration ou le juge, non par des</w:t>
      </w:r>
    </w:p>
    <w:p>
      <w:r>
        <w:t>- 14 - experts médicaux (ATF 107 V 173 consid. 4b ; TF U 493/06 du 5 novembre 2007 consid. 3.1).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 TF 8C_69/2012 du 18 septembre 2012 consid. 2 ; TF 8C_260/2012 du 27 juin 2012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w:t>
      </w:r>
    </w:p>
    <w:p>
      <w:r>
        <w:rPr>
          <w:b/>
        </w:rPr>
        <w:t>E. 5</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w:t>
      </w:r>
    </w:p>
    <w:p>
      <w:r>
        <w:t>- 15 -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w:t>
      </w:r>
    </w:p>
    <w:p>
      <w:r>
        <w:t>- 16 -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6</w:t>
      </w:r>
    </w:p>
    <w:p>
      <w:r>
        <w:t>a) En l’espèce, l’évaluation médicale de l’atteinte à l’épaule gauche n’est pas contestée par les parties et ne prête pas flanc à la critique, les médecins étant unanimes à ce sujet. Ainsi, il est constant que la recourante ne peut plus utiliser son membre supérieur gauche que pour des gestes d’appoint. L’atteinte du membre supérieur droit n’est pas niée par l’intimée. A ce propos, les évaluations médicales au dossier, qu’elles proviennent des médecins traitants ou du SMR, concordent, tant du point de vue des diagnostics que des conséquences sur la capacité de travail. Le Dr U.________, dans son rapport du 12 janvier 2016, estime que dans une activité mono-manuelle droite, n’utilisant le membre supérieur gauche que pour les gestes d’appoint, la recourante n’aurait qu’une capacité de travail de 50 % en raison de la périarthrite scapulo- humérale et de l’arthrose acromio-claviculaire droites qu’elle présente. Selon ce médecin, ces pathologies seraient liées à la surcharge de ce membre pour compenser l’impossibilité d’utiliser le membre supérieur gauche. Cet avis est également celui de la Dresse W.________ (cf. rapport du 22 septembre 2015). Le Dr S.________ retient, quant à lui, que la recourante ne présentera aucune capacité de travail tant que l’atteinte du membre supérieur droit ne se sera pas améliorée. L’existence d’une atteinte au membre supérieur droit ne peut être niée en l’espèce. Seule demeure ici la question de son lien de causalité avec l’accident du 10 novembre 2012. L’intimée a soumis le dossier de la recourante à sa Division Médecine des assurances pour évaluation de cette question. Dans son</w:t>
      </w:r>
    </w:p>
    <w:p>
      <w:r>
        <w:t>- 17 - appréciation chirurgicale du 9 mai 2016, le Dr M.________ observe que l’incapacité de travail retenue par les médecins traitants et le SMR est essentiellement en relation avec les lésions de l’épaule droite. Or, selon lui, ces lésions sont purement et typiquement dégénératives et ne peuvent être mises en relation de causalité pour le moins probable avec l’accident assuré. Une recherche extensive dans la littérature ne lui a pas permis de trouver des arguments laissant penser qu’il existe des lésions de surcharge d’une épaule en relation avec l’impossibilité d’utiliser le membre supérieur controlatéral. Il observe que rien dans la littérature médicale ne suggère par exemple qu’une personne amputée d’un membre supérieur développe des lésions de surcharge du membre supérieur restant. Partant, de l’avis de ce spécialiste, les lésions dégénératives n’ont pu tout au plus qu’être rendues symptomatiques en raison de l’inutilisation du membre supérieur gauche, respectivement toute activité professionnelle adaptée ne saurait entraîner une surutilisation du membre supérieur droit. Il conclut donc à une pleine capacité de travail dans une activité mono-manuelle droite, le bras gauche n’étant utilisé que pour des gestes d’appoint. Bien que le Dr M.________ se soit prononcé sur demande de l’intimée dans le cadre de la procédure en cours et que la force probante de son rapport doive être appréciée avec autant de sévérité que les rapports des médecins traitants, en tenant en particulier compte du fait qu’il n’a pas examiné lui-même la recourante, il n’en reste pas moins que les critères de la jurisprudence (cf. supra consid. 5) permettent de lui conférer pleine valeur probante. Le Dr M.________ a tenu compte de l’anamnèse et des pièces médicales au dossier, en particulier les rapports des Drs U.________, S.________ et W.________. Il a étayé sa position par des considérations médicales détaillées permettant de comprendre pour quelles raisons il se distancie des avis des médecins traitants. Les diagnostics n’étant pas contestés, il est admissible que la question de la causalité seule puisse être appréciée sans que soit pratiqué un examen clinique, le point litigieux ayant fait l’objet d’une étude circonstanciée. Par ailleurs, la description des interférences médicales est claire et les conclusions dûment motivées. A cet égard, il est précisé que le fait qu’il</w:t>
      </w:r>
    </w:p>
    <w:p>
      <w:r>
        <w:t>- 18 - déclare plausible que l’inutilisation du membre supérieur gauche ait rendu au fil du temps symptomatique l’atteinte à l’épaule droite n’entre pas en contradiction avec l’absence de causalité naturelle dès lors qu’il qualifie l’atteinte de dégénérative. Si le rapport du SMR peut également se voir conférer pleine valeur probante quant aux diagnostics posés, le Dr U.________ ayant examiné la recourante et également tenu compte du dossier médical et de l’anamnèse, il n’en va pas de même quant à la seule question de la causalité. En effet, ce médecin se contente de mentionner que les plaintes à l’épaule droite de la recourante concordent avec les résultats de l’IRM de cette épaule, ce qui n’est pas nié, et la surcharge de ce membre sur plusieurs mois pour compenser l’impossibilité d’utiliser le membre supérieur gauche. La seule explication qu’il donne à cette dernière affirmation et que la surcharge est « logique dans le contexte de l’atteinte du côté controlatéral », ne donnant ainsi aucune explication médicale pour étayer cette thèse. Il ne précise d’une part pas en quoi l’inutilisation d’un membre représente une surcharge pour l’autre, ce qui ne va pas de soi, comme le démontre clairement le Dr M.________. D’autre part, il ne décrit aucunement de quelle manière et dans quelle mesure cette surcharge pouvait entraîner l’atteinte diagnostiquée sur l’épaule droite et encore moins pour quelles raisons il faudrait écarter une explication dégénérative. La simple affirmation d’un lien « logique » entre la surcharge du membre supérieur droit, qui serait en soi évidente, et l’atteinte de ce membre, ne permet en aucun cas de retenir un lien de causalité naturelle entre cette atteinte à l’événement accidentel, respectivement de remettre en cause l’appréciation probante du Dr M.________. Il en va de même de l’appréciation de la Dresse W.________, qui n’amène pas plus de précisions médicales. Cette dernière a pratiqué plusieurs interventions sur le membre supérieur gauche de la recourante, en 2014 notamment. Ce n’est toutefois que dans son rapport du 22 septembre 2015 qu’elle mentionne pour la première fois l’atteinte du membre supérieur droit. Elle se contente alors d’expliquer que « vu que la</w:t>
      </w:r>
    </w:p>
    <w:p>
      <w:r>
        <w:t>- 19 - patiente n’utilise plus du tout son membre supérieur gauche, elle a développé depuis 1 ½ an une cervico-brachialgie droite de compensation ». Le reste de son rapport est consacré à la description de la symptomatologie elle-même, aux autres diagnostics retenus et au traitement prescrit. Tout comme pour le rapport du SMR, la seule affirmation que l’atteinte de l’épaule droite est due à la non-utilisation du bras gauche, sans autres explications médicales, n’est pas de nature à pouvoir convaincre. Quant au Dr S.________, s’il mentionne, dans son rapport du 3 février 2016, une tendinopathie de surcharge, il n’étaye pas non plus ce diagnostic. Il retient de plus également une arthropathie évolutive de l’articulation acromio-claviculaire droite, sans toutefois faire la part des choses entre une atteinte qui serait de surcharge et une atteinte qui serait dégénérative. Ainsi, bien que les médecins traitant parlent d’une atteinte de surcharge, ils n’amènent pas d’éléments médicaux objectifs et suffisamment étayés permettant de retenir au degré de la vraisemblance prépondérante un lien de causalité naturelle entre l’accident et l’atteinte à l’épaule droite. Il est dès lors exclu d’étendre la responsabilité de l’assurance-accidents aux conséquences de dite atteinte. b) L’évaluation du degré d’invalidité de la recourante ne repose ainsi que sur la seule atteinte à son membre supérieur gauche. A cet égard, l’appréciation médicale du Dr Q.________ peut être considérée comme probante selon les critères jurisprudentiels en la matière. Elle se fonde en effet sur le dossier médical de la recourante, une anamnèse détaillée, un examen clinique et ses conclusions sont claires et motivées. Les critiques de la recourante se dirige essentiellement sur le fait que le Dr Q.________ n’a pas tenu compte de l’atteinte à l’épaule droite, ce qui ne peut être retenu dès lors qu’il n’avait pas à le faire en l’absence d’un lien de causalité naturelle entre cette atteinte et l’accident en cause. Quant au grief soulevé d’un comportement inadéquat qu’aurait</w:t>
      </w:r>
    </w:p>
    <w:p>
      <w:r>
        <w:t>- 20 - eu le Dr Q.________ envers la recourante, il peut être écarté au vu de la possibilité que cette dernière a eue de faire part de ses doléances à l’occasion de l’entretien avec le Dr C.________ le 11 janvier 2016. Elle n’a alors pas contesté la compétence du Dr Q.________, et s’est finalement déclarée satisfaite. Le Dr C.________ a en outre confirmé les conclusions du Q.________. La valeur probante du rapport de ce dernier peut d’autant moins être niée que son contenu est corroboré par les observations et conclusions des autres médecins intervenus au dossier, qu’il s’agisse des diagnostics posés sur le membre supérieur gauche ou de leur influence sur la capacité de travail. Au vu de ce précède, il peut être retenu que la recourante présente une pleine capacité de travail dans une activité adaptée, soit ne nécessitant l’utilisation du membre supérieur gauche que pour des gestes d’appoint. c) Le dossier étant complet, permettant ainsi à la Cour de céans de statuer en pleine connaissance de cause, il n'y a pas lieu d'en compléter l'instruction en ordonnant une expertise.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w:t>
      </w:r>
    </w:p>
    <w:p>
      <w:r>
        <w:rPr>
          <w:b/>
        </w:rPr>
        <w:t>E. 6.4</w:t>
      </w:r>
    </w:p>
    <w:p>
      <w:r>
        <w:t>; 131 V 362 consid. 2.2.1 et 2.2.2).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w:t>
      </w:r>
    </w:p>
    <w:p>
      <w:r>
        <w:t>- 22 -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du 10 juin 2009 consid. 2.1). b) On rappellera qu’en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op. cit.,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w:t>
      </w:r>
    </w:p>
    <w:p>
      <w:r>
        <w:t>- 23 -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c) Conformément aux évaluations médicales et compte tenu du peu de formation de la recourante, il est admis, à l’instar de l’intimée, que les activités exigibles d’elle sont des activités légères dans différents secteurs de l’industrie, épargnant le membre supérieur gauche. En l’occurrence, l’intimée a listé vingt-neuf DPT et en a sélectionné cinq, comme collaboratrice de production (trois postes), réceptionniste et employée de conditionnement. Pour aucun des postes décrits l’usage des deux mains n’est nécessaire. Ces activités ne vont donc pas à l’encontre des limitations fonctionnelles retenues pour le membre supérieur gauche. Les DPT choisies sont conformes à la jurisprudence (cf. supra consid. 7c) et ne prêtent pas flanc à la critique. La recourante ne les a du reste pas contestées, bien qu’invitée, à sa demande, à venir consulter son dossier au greffe de la Cour de céans par courrier de la juge instructrice du 17 juin 2016. On retiendra dès lors que les cinq DPT sélectionnées par l’intimée peuvent être considérées comme adaptées au handicap de la recourante. Il en résulte, comme indiqué par l’intimée, un gain avec invalidité de 49'946 fr. par an. Aucun grief n’est formulé par la recourante à l’encontre du revenu sans invalidité retenu par l’intimée. Celui-ci a été, à juste titre, arrêté sur la base des informations communiquées par l’ancien employeur (cf. attestation de l’employeur du 19 octobre 2015), faisant état d’un salaire mensuel en 2015 de 5'226 fr. 95, versé douze fois l’an, d’un 13e salaire de 5'224 fr. 85, d’une prime mensuelle d’équipe de 450 fr. et</w:t>
      </w:r>
    </w:p>
    <w:p>
      <w:r>
        <w:t>- 24 - d’allocations mensuelles de 560 fr., soit un salaire annuel de 80'068 francs. La comparaison entre le revenu sans invalidité de 80’068 fr. et le revenu avec invalidité de 49’946 fr. laisse apparaître une perte de gain de 37.62 %, de sorte que le droit à une rente fondée sur un taux d’invalidité de 38 % doit être confirmé.</w:t>
      </w:r>
    </w:p>
    <w:p>
      <w:r>
        <w:rPr>
          <w:b/>
        </w:rPr>
        <w:t>E. 7</w:t>
      </w:r>
    </w:p>
    <w:p>
      <w:r>
        <w:t>Cela étant constaté, encore faut-il déterminer le degré d’invalidité présenté par la recourante. a) Si l'assuré est invalide à 10 % au moins par suite d’un accident, il a droit à une rente d'invalidité (art. 18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w:t>
      </w:r>
    </w:p>
    <w:p>
      <w:r>
        <w:t>- 21 - traitement médical et aux indemnités journalières cesse dès la naissance du droit à la rente.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 art. 7 et 8 LPGA) ; l’uniformité de la notion d’invalidité n’a cependant pas pour conséquence de libérer chacune de ces assurances de l’obligation de procéder dans chaque cas et de manière indépendante à l’évaluation de l'invalidité (ATF 131 V 362 consid. 2.2.1 ; 126 V 288 consid. 2a et 2d ; 119 V 471 consid. 4a ;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w:t>
      </w:r>
    </w:p>
    <w:p>
      <w:r>
        <w:rPr>
          <w:b/>
        </w:rPr>
        <w:t>E. 8</w:t>
      </w:r>
    </w:p>
    <w:p>
      <w:r>
        <w:t>Dans un dernier grief, la recourante soutient que le taux de l’indemnité pour atteinte à l’intégrité arrêté par l’intimée est insuffisant. a) Selon l’art. 24 al. 1 LAA, l’assuré qui, par suite de l’accident, souffre d’une atteinte importante et durable à son intégrité physique, mentale ou psychique,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w:t>
      </w:r>
    </w:p>
    <w:p>
      <w:r>
        <w:t>- 25 - Aux termes de l’art. 25 al. 1 LAA, l’indemnité pour atteinte à l’intégrité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221 consid. 4b et les références). L’annexe 3 de l’OLAA comporte un barème – reconnu conforme à la loi et non exhaustif – des lésions fréquentes et caractéristiques, évaluées en pour cent du montant maximum du gain assuré (ATF 124 V 29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et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 116 V 156 consid. 3a ; RAMA 1998 n° U 296 p. 235, U 145/96 consid. 2a) et permettent de procéder à une appréciation plus nuancée, lorsque l’atteinte d’un organe n’est que partielle. b) En l’espèce, l’IPAI a été évaluée par le Dr Q.________ et confirmée par les Drs C.________ et M.________. Le Dr Q.________ a retenu les deux atteintes à l’intégrité suivante : épaule mobile jusqu’à l’horizontale, soit, conformément au tableau 01 - Atteinte à l'intégrité résultant de troubles fonctionnels des membres supérieurs 2870/1.F édité</w:t>
      </w:r>
    </w:p>
    <w:p>
      <w:r>
        <w:t>- 26 - par la CNA, une indemnisation de 15 %, et coude mobile entre 0-30-90°, soit une indemnisation de 10 %. Il a en définitive fixé l’IPAI à 23.5 %, conformément à l’art. 36 al. 3 OLAA, qui stipule qu’en cas de concours de plusieurs atteintes à l'intégrité physique, mentale ou psychique, dues à un ou plusieurs accidents, l'indemnité pour atteinte à l'intégrité est fixée d'après l'ensemble du dommage. De l’avis de la recourante, ce taux devrait être supérieur compte tenu de l’atteinte à son bras droit. Or comme il a été démontré ci-dessus, dite atteinte n’est pas en lien de causalité avec l’accident concerné. Il n’y a dès lors pas lieu d’en tenir compte. La recourante ne critique pas l’appréciation de l’atteinte à l’intégrité concernant le seul membre supérieur gauche faite par le Dr Q.________, dont le rapport, comme il a été exposé ci-dessus, peut être considéré comme probant. Au vu de ces éléments, l’IPAI telle qu’elle a été fixée par l’intimée peut être confirmée. c) En définitive, est retenue l’absence d’une quelconque atteinte à l’épaule droite d’origine traumatique susceptible de diminuer la capacité de travail de la recourante d’un point de vue de l’assurance- accidents. Cela étant, il n’existe aucun motif justifiant de s’écarter de l’appréciation de l’intimée, reconnaissant à la recourante une pleine capacité de travail dans une activité adaptée à ses limitations fonctionnelles séquellaires. Partant, tant le taux de la rente d’invalidité que celui de l’IPAI, dont les calculs sont conformes au droit, doivent être repris.</w:t>
      </w:r>
    </w:p>
    <w:p>
      <w:r>
        <w:rPr>
          <w:b/>
        </w:rPr>
        <w:t>E. 9</w:t>
      </w:r>
    </w:p>
    <w:p>
      <w:r>
        <w:t>a) Le recours doit ainsi être rejeté et la décision attaquée confirmée. b) Il n'y a pas lieu de percevoir des frais de justice, la procédure étant gratuite (art. 61 let. a LPGA), ni d'allouer de dépens, le recourant n'obtenant pas gain de cause (art. 55 LPA-VD ;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