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ZA15.046076 vom 13. Juni 2017</w:t>
      </w:r>
    </w:p>
    <w:p>
      <w:r>
        <w:t>VD Tribunal cantonal, 2017-06-13, FR</w:t>
      </w:r>
    </w:p>
    <w:p>
      <w:r>
        <w:rPr>
          <w:b/>
        </w:rPr>
        <w:t xml:space="preserve">Quelle: </w:t>
      </w:r>
      <w:r>
        <w:t>https://mcp.opencaselaw.ch/entscheid/vd_gerichte_ZA15.046076</w:t>
      </w:r>
    </w:p>
    <w:p>
      <w:r>
        <w:t>FR: VD_GERICHTE ZA15.046076 du 13 juin 2017</w:t>
      </w:r>
    </w:p>
    <w:p>
      <w:r>
        <w:t>IT: VD_GERICHTE ZA15.046076 del 13 giugno 2017</w:t>
      </w:r>
    </w:p>
    <w:p>
      <w:pPr>
        <w:pStyle w:val="Heading2"/>
      </w:pPr>
      <w:r>
        <w:t>Erwägungen</w:t>
      </w:r>
    </w:p>
    <w:p>
      <w:r>
        <w:rPr>
          <w:b/>
        </w:rPr>
        <w:t>E. 6</w:t>
      </w:r>
    </w:p>
    <w:p>
      <w:r>
        <w:t>Au regard de la composante non organique des troubles invoqués, l’intimée a examiné le lien de causalité sous l’angle d’un trouble d’ordre psychique après un accident. Dans ce contexte, elle a laissé ouverte la question de la causalité naturelle entre l’accident et les plaintes relatées, partant du principe que les conditions pour admettre la causalité adéquate n’étaient de toute manière pas réalisées. a) Avant tout, la reconnaissance de l'existence d'une atteinte à la santé psychique suppose la présence d'un diagnostic émanant d'un expert (psychiatre) et s'appuyant lege artis sur les critères d'un système de classification reconnu (ATF 130 V 396 consid. 5.3 et consid. 6 ; TF 9C_624/2015 du 9 décembre 2015 consid. 4). Or, il ne ressort pas</w:t>
      </w:r>
    </w:p>
    <w:p>
      <w:r>
        <w:t>- 26 - clairement du dossier que le recourant ait souffert de troubles psychiques prépondérants suite à l’accident du 26 septembre 2014. Les rapports médicaux des 7 octobre 2015, 3 février et 7 septembre 2016 établis par le Dr V.________ laissent cependant à penser que tel pourrait être le cas. b) Il convient donc d’examiner le degré de gravité de l’accident. Si l’on se réfère aux cas similaires traités par la jurisprudence (cf. TF 8C_696/2012 du 17 juillet 2013 ; TFA U 18/01 du 19 octobre 2001), l’accident subi par le recourant le 26 septembre 2014 doit être classé dans la catégorie des accidents de gravité moyenne stricto sensu, sans pouvoir être considéré comme à la limite des accidents graves ou des accidents insignifiants. A l’aune des différents critères retenus par la jurisprudence pour admettre un lien de causalité adéquate avec d’éventuels troubles psychiques (cf. consid. 3d supra), on observe que les circonstances de l’accident dont le recourant a été victime, appréciées objectivement, ne sont ni dramatiques, ni particulièrement impressionnantes, étant rappelé que selon la jurisprudence, la survenance d'un accident de gravité moyenne présente toujours un certain caractère impressionnant pour la personne qui en est victime, ce qui ne suffit pas en soi à conduire à l'admission de ce critère (TF 8C_657/2013 du 3 juillet 2014 consid. 5.3). En l’espèce, le recourant a fait une chute sur les fesses en tombant d’un pont de camion. Le recourant aura certainement été surpris, voire choqué par l’événement. Néanmoins, il n’a subi aucune lésion osseuse et les pièces au dossier ne rendent pas compte d’une perte de connaissance. A aucun moment, il n’aura pu craindre pour sa vie. Selon le cours ordinaire des choses et l’expérience de la vie, des lésions physiques consistant en des contusions dans la région lombaire n’entraînent pas des troubles psychiques. Le recourant a bénéficié d’un traitement essentiellement antalgique et anti-inflammatoire, accompagné de séances de</w:t>
      </w:r>
    </w:p>
    <w:p>
      <w:r>
        <w:t>- 27 - physiothérapie, sans qu’il soit allégué que ce traitement aurait provoqué des effets secondaires particulièrement lourds à supporter. Aucune erreur dans le traitement médical, ni difficultés en cours de guérison, ni complications importantes n’ont été observées. Les différents traitements – qui ont prolongé l’incapacité de travail – ne peuvent pas intégralement être mis sur le compte des séquelles organiques de l’accident, différents médecins ayant souligné à plusieurs reprises que les troubles relatés ne pouvaient pas s’expliquer d’un point de vue organique (rapport du 29 janvier 2015 du Dr E.________, appréciation médicale du 10 juin 2015 de la Dresse L.________, rapport du 18 août 2015 du Dr Q.________). Enfin, la lésion au niveau du pouce gauche a connu une évolution favorable, contrairement aux douleurs lombaires qui ont été source de douleurs depuis l’accident. N’entrerait donc en considération que le critère des douleurs physiques persistantes, qui à lui seul, ne suffit pas, au regard de la nature et de l’intensité de ces dernières, pour retenir un lien de causalité adéquate entre l’atteinte psychique – pour autant qu’il y en ait une – et l’accident du 26 septembre 2014. On constate ainsi que les critères développés par la jurisprudence pour admettre un lien de causalité adéquate ne sont pas réalisés dans le cas d’espèce, de sorte que c’est à juste titre que l’intimée a nié le lien de causalité adéquate tout en laissant la question de la causalité naturelle ouverte.</w:t>
      </w:r>
    </w:p>
    <w:p>
      <w:r>
        <w:rPr>
          <w:b/>
        </w:rPr>
        <w:t>E. 7</w:t>
      </w:r>
    </w:p>
    <w:p>
      <w:r>
        <w:t>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w:t>
      </w:r>
    </w:p>
    <w:p>
      <w:r>
        <w:t>- 28 -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l’instruction du dossier apparaissant suffisante, la requête du recourant tendant à la mise en œuvre d’une expertise pluridisciplinaire doit être rejetée, les éléments au dossier étant clairs, dénués de contradiction et permettant à la Cour de céans de statuer en pleine connaissance de cause.</w:t>
      </w:r>
    </w:p>
    <w:p>
      <w:r>
        <w:rPr>
          <w:b/>
        </w:rPr>
        <w:t>E. 8</w:t>
      </w:r>
    </w:p>
    <w:p>
      <w:r>
        <w:t>a) Il résulte de ce qui précède que le recours, mal fondé, doit être rejeté et la décision litigieuse confirmée. b) La procédure étant gratuite (art. 61 let. a LPGA), il n’est pas perçu de frais de justice. Il n’y a pas lieu d’allouer de dépens, ni au recourant qui succombe (61 let. g LPGA et art. 55 al. 1 LPA-VD), ni à l’intimée – au demeurant non assistée – qui n’y a pas droit comme assureur social (cf. ATF 128 V 323). c) Le recourant a obtenu le 2 novembre 2015, au titre de l’assistance judiciaire, l’exonération de l’avance de frais avec une franchise mensuelle de 50 fr., ainsi que la commission d’office d’un avocat (art. 118 al. 1 let. a et c CPC [code fédéral de procédure civile du 19 décembre 2008 ; RS 272], applicable par renvoi de l'art. 18 al. 5 LPA- VD). Il y a donc lieu, dans le présent arrêt, de fixer la rémunération de l’avocat d’office. En l’occurrence, Me Saint-Marc a produit le 21 juin 2016 sa liste d’opérations et débours dans la présente procédure. Elle a chiffré à 36 heures et 10 minutes le temps consacré à ce dossier et ses frais et débours à 630 francs. Après examen, le temps consacré à la réalisation</w:t>
      </w:r>
    </w:p>
    <w:p>
      <w:r>
        <w:t>- 29 - des opérations listées paraît toutefois trop important eu égard à la complexité de la cause. Il ressort en particulier de la liste des opérations que Me Saint-Marc a consacré 10 heures à la réplique, ce qui paraît excessif, tenant compte du fait que Me Saint-Marc a également consacré</w:t>
      </w:r>
    </w:p>
    <w:p>
      <w:r>
        <w:rPr>
          <w:b/>
        </w:rPr>
        <w:t>E. 10</w:t>
      </w:r>
    </w:p>
    <w:p>
      <w:r>
        <w:t>minutes. C’est ainsi un montant de 5'610 fr. (31 heures et 10 minutes x tarif horaire de 180 fr.) qui doit être reconnu à titre d’honoraires pour les opérations effectuées, auquel s’ajoute la TVA à 8 %, soit un montant de 448 fr. 80. L’avocat d’office a également droit au remboursement de tous les débours qui s’inscrivent raisonnablement dans l’exécution de sa tâche (ATF 122 I 1). En l’occurrence, il convient de réduire le montant des débours de 280 fr. pour des photocopies facturées à double sans autre précision. C’est dès lors un montant de 350 fr., TVA à 8 % en sus, qui doit être reconnu à ce titre. L’indemnité d’office doit ainsi être fixée à 6'436 fr. 80. Cette rémunération est provisoirement supportée par le canton, le recourant étant rendu attentif au fait qu'il est tenu de rembourser ce montant dès qu'il sera en mesure de le faire (art. 123 al. 1 CPC et art. 18 al. 5 LPA-VD). Il incombe au Service juridique et législatif de fixer les modalités de ce remboursement (art. 5 RAJ [règlement vaudois sur l'assistance judiciaire en matière civile du 7 décembre 2010 ; RSV 211.02.3]), en tenant compte des montants payés à titre de contribution mensuelle depuis le début de la procédure.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