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ZA15.025801 vom 23. Mai 2016</w:t>
      </w:r>
    </w:p>
    <w:p>
      <w:r>
        <w:t>VD Tribunal cantonal, 2016-05-23, FR</w:t>
      </w:r>
    </w:p>
    <w:p>
      <w:r>
        <w:rPr>
          <w:b/>
        </w:rPr>
        <w:t xml:space="preserve">Quelle: </w:t>
      </w:r>
      <w:r>
        <w:t>https://mcp.opencaselaw.ch/entscheid/vd_gerichte_ZA15.025801</w:t>
      </w:r>
    </w:p>
    <w:p>
      <w:r>
        <w:t>FR: VD_GERICHTE ZA15.025801 du 23 mai 2016</w:t>
      </w:r>
    </w:p>
    <w:p>
      <w:r>
        <w:t>IT: VD_GERICHTE ZA15.025801 del 23 maggio 2016</w:t>
      </w:r>
    </w:p>
    <w:p>
      <w:pPr>
        <w:pStyle w:val="Heading2"/>
      </w:pPr>
      <w:r>
        <w:t>Erwägungen</w:t>
      </w:r>
    </w:p>
    <w:p>
      <w:r>
        <w:rPr>
          <w:b/>
        </w:rPr>
        <w:t>E. 1</w:t>
      </w:r>
    </w:p>
    <w:p>
      <w:r>
        <w:t>a) Les dispositions de la LPGA (loi fédérale du 6 octobre 2000 sur la partie générale du droit des assurances sociales ; RS 830.1) s'appliquent à l'assurance-accidents, sous réserve de dérogations</w:t>
      </w:r>
    </w:p>
    <w:p>
      <w:r>
        <w:t>- 10 - expresses (art. 1 al. 1 LAA [loi fédérale du 20 mars 1981 sur l'assurance- 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 trente jours suivant la notification de la décision sujette à recours (art. 60 al. 1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w:t>
      </w:r>
    </w:p>
    <w:p>
      <w:r>
        <w:rPr>
          <w:b/>
        </w:rPr>
        <w:t>E. 1.2</w:t>
      </w:r>
    </w:p>
    <w:p>
      <w:r>
        <w:t>; TF 8C_552/2007 du 19 février 2008 consid. 2). Cela signifie que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w:t>
      </w:r>
    </w:p>
    <w:p>
      <w:r>
        <w:t>- 14 -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Dès lors qu'il s'agit dans ce contexte de la suppression du droit à des prestations, le fardeau de la preuve n'appartient pas à l'assuré mais à l'assureur (TF U 136/06 du 2 mai 2007 consid. 3.1 ; TFA U 179/03 du 7 juillet 2004 consid. 3 ; TFA U 43/03 du 29 avril 2004 consid. 3 ; RAMA 2000 n° U 363 p. 46 consid. 2). e) Le Conseil fédéral peut inclure dans l’assurance des lésions corporelles qui sont semblables aux conséquences d’un accident (art. 6 al. 2 LAA). En vertu de cette délégation de compétence, il a édicté l’art. 9 al. 2 OLAA (ordonnance du 20 décembre 1982 sur l’assurance-accidents ; RS 832.202), qui prévoit que les lésions corporelles suivantes, dont la liste est exhaustive, sont assimilées à un accident, même si elles ne sont pas causées par un facteur extérieur de caractère extraordinaire et pour autant qu’elles ne soient pas manifestement imputables à une maladie ou à des phénomènes dégénératifs : - les fractures (let. a) ; - les déboîtements d’articulations (let. b) ; - les déchirures du ménisque (let. c) ; - les déchirures de muscles (let. d) ; - les élongations de muscles (let. e) ; - les déchirures de tendons (let. f) ; - les lésions de ligaments (let. g) ; - les lésions du tympan (let. h).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w:t>
      </w:r>
    </w:p>
    <w:p>
      <w:r>
        <w:t>- 15 - vraisemblablement maladive ou dégénérative, pour autant qu'une cause extérieure ait, tout au moins, déclenché les symptômes dont souffre l'assuré (ATF 139 V 327 consid. 3.1 et les références citées ; ATF 129 V 466 ; ATF 123 V 43 consid. 2b ; ATF 116 V 145 consid. 2c ; ATF 114 V 298 consid. 3c). Il faut qu'un facteur extérieur soit une cause possible de la lésion, au moins à titre partiel, pour qu'une lésion assimilée à un accident soit admise (TF 8C_698/2007 du 27 octobre 2008 consid. 4.2 et les références citées). A l'exception du caractère extraordinaire du facteur extérieur, toutes les autres conditions constitutives de la notion d'accident doivent être réalisées (cf. art. 4 LPGA) en cas de lésion corporelle assimilée à un accident ; en particulier et notamment, l'existence d'un facteur extérieur doit être établie.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(ATF 129 V 466 consid. 4 ; ATF 123 V 43 ; TF 8C_537/2011 du 28 février 2012 consid. 3.1 ; TF 8C_35/2008 du 30 octobre 2008 consid. 2.1).</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l’intimée doit prendre en charge les conséquences de l’événement du 12 février 2015.</w:t>
      </w:r>
    </w:p>
    <w:p>
      <w:r>
        <w:rPr>
          <w:b/>
        </w:rPr>
        <w:t>E. 3</w:t>
      </w:r>
    </w:p>
    <w:p>
      <w:r>
        <w:t>a) Selon l’art. 6 al. 1 LAA, si la loi n’en dispose pas autrement, les prestations d’assurance sont allouées en cas d’accident professionnel,</w:t>
      </w:r>
    </w:p>
    <w:p>
      <w:r>
        <w:t>- 11 - d’accident non professionnel et de maladie professionnelle. Aux termes de l’art. 4 LPGA, est réputé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Il suffit que l'un d'entre eux fasse défaut pour que l'événement ne puisse être qualifié d'accident et que, le cas échéant, l’atteinte dommageable doive être qualifiée de maladie (ATF 129 V 402 consid. 2.1 et les références citées ; ATF 122 V 230 consid. 1 ; TF 8C_767/2012 du 18 juillet 2013 consid. 3.1).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et les références citées ; ATF 129 V 402 consid. 4.3.1 ; TF 8C_976/2012 du 28 novembre 2013 consid. 3.1 ; TF 8C_414/2011 du 2 avril 2012 consid. 3.1). Le seul fait que des symptômes douloureux ne se sont manifestés qu'après la survenance d'un accident ne suffit pas à établir un rapport de causalité naturelle avec cet accident (raisonnement « post hoc ergo propter hoc » ; ATF 119 V 335 consid. 2b/bb ; TF 8C_403/2012 du 19 juin 2012 conisd. 3.3 ; TF 8C_42/2009 du 1er octobre 2009 consid. 2.2). On ne saurait toutefois dénier toute valeur à ce raisonnement lorsqu’il est mis en relation avec d’autres critères médicalement déterminants. Par ailleurs,</w:t>
      </w:r>
    </w:p>
    <w:p>
      <w:r>
        <w:t>- 12 - l’inapplication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U 349/05 du 21 août 2006 consid. 6).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consid.</w:t>
      </w:r>
    </w:p>
    <w:p>
      <w:r>
        <w:rPr>
          <w:b/>
        </w:rPr>
        <w:t>E. 3.1</w:t>
      </w:r>
    </w:p>
    <w:p>
      <w:r>
        <w:t>; ATF 126 V 353 consid. 5b ; ATF 117 V 359 consid. 4a ; TF 8C_976/2012 du 28 novembre 2013 consid. 3.1 ; Frésard/Moser- Szeless, L’assurance-accident obligatoire, in Schweizerisches Bundesverwaltungsrecht, Vol. XIV, 2ème éd., n. 79, p. 865). c) Le droit à des prestations de l'assurance-accidents implique également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ATF 125</w:t>
      </w:r>
    </w:p>
    <w:p>
      <w:r>
        <w:t>- 13 - V 456 consid. 5a et les références citées ; TF 8C_710/2008 du 28 avril 2009 consid. 2). Dans le domaine de l'assurance-accidents obligatoire, en cas d'atteinte à la santé physique, la causalité adéquate se recoupe largement avec la causalité naturelle, de sorte qu'elle ne joue pratiquement pas de rôle (ATF 118 V 286 consid. 3a ; ATF 117 V 359 consid. 5d/bb ; TF 8C_726/2008 du 14 mai 2009 consid. 2.1 in fine et les références citées). d) Aux termes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(TF 8C_373/2013 du 11 mars 2014 consid. 3.2 ; TF 8C_1003/2010 du 22 novembre 2011 consid.</w:t>
      </w:r>
    </w:p>
    <w:p>
      <w:r>
        <w:rPr>
          <w:b/>
        </w:rPr>
        <w:t>E. 4</w:t>
      </w:r>
    </w:p>
    <w:p>
      <w:r>
        <w:t>a) 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w:t>
      </w:r>
    </w:p>
    <w:p>
      <w:r>
        <w:t>- 16 -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les références citées ; TF 9C_1023/2008 du 30 juin 2009 consid. 2.1.1). b) Selon l’art. 43 al. 1 LPGA, l’assureur examine les demandes, prend d’office les mesures d’instruction nécessaires et recueille les renseignements dont il a besoin ; les renseignements donnés oralement doivent être consignés par écrit. L’assuré doit se soumettre à des examens médicaux ou techniques si ceux-ci sont nécessaires à l’appréciation du cas et qu’ils peuvent être raisonnablement exigés (art. 43 al. 2 LPGA). Conformément au principe inquisitoire régissant la procédure dans le domaine des assurances sociales,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(TF U 316/06 du 6 juillet 2007 consid. 3.1.1). Le devoir d’instruction s’étend jusqu’à ce que les faits nécessaires à l’examen des prétentions en cause soient suffisamment élucidés (TF 8C_364/2007 du 19 novembre 2007 consid. 3.2).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w:t>
      </w:r>
    </w:p>
    <w:p>
      <w:r>
        <w:t>- 17 - un médecin indépendant selon la procédure de l’art. 44 LPGA ou une expertise judiciaire (ATF 135 V 465 consid. 4).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interpelés par l'autorité administrative ; a contrario, une expertise judiciaire s'impose lorsque les données recueillies par l'administration en cours d'instruction ne revêtent pas une valeur probante suffisante sur des points décisifs (ATF 137 V 210 consid. 4.4.1.4 et 4.4.1.5).</w:t>
      </w:r>
    </w:p>
    <w:p>
      <w:r>
        <w:rPr>
          <w:b/>
        </w:rPr>
        <w:t>E. 5</w:t>
      </w:r>
    </w:p>
    <w:p>
      <w:r>
        <w:t>En l’espèce, se fondant sur l’avis du Prof. S.________, le recourant considère que la lésion subie lors de l’événement du 12 février 2015 constitue une atteinte récente sur une ancienne chirurgie, qui a conduit à la nécessité d’une opération et se trouve en lien de causalité avec ledit événement. De son côté, l’intimée, se fondant sur l’avis de son médecin-conseil, le Dr C.________, considère que l’IRM réalisée le lendemain de l’événement n’a révélé aucun traumatisme récent et que l’intéressé présentait un état pathologie préexistant du fait d’une</w:t>
      </w:r>
    </w:p>
    <w:p>
      <w:r>
        <w:t>- 18 - opération réalisée en 2013 dont il résultait une instabilité résiduelle chronique du genou droit, niant ainsi l’existence d’un lien de causalité. Dans son rapport du 19 février 2015, le Prof. S.________ a exposé que le recourant présentait un syndrome fonctionnel du genou droit se manifestant par une instabilité de type rotatoire liée à un traumatisme sportif indirect sous forme de pivot sur « poussée » intervenu le 12 février 2015 et a diagnostiqué une laxité globale antérieure de stade 2. Le 5 septembre 2015, après avoir rappelé que l’intéressé avait été opéré d’une rupture du ligament croisé antérieur en mars 2013, il a précisé que l’événement du 12 février 2015 avait provoqué une rupture de la greffe antérieure, relevant qu’il aurait également pu rompre un ligament sain, et a affirmé que les constatations pré-opératoires confirmaient l’existence d’une rupture de la greffe concomitante dudit événement. Ce praticien a mentionné dans le bilan intra-articulaire figurant dans le compte-rendu opératoire du 13 mars 2015 une disparition de l’ancien greffon du ligament croisé antérieur, une lésion méniscale médiale au niveau du ménisque inférieur et une chondropathie œdémateuse étendue du condyle médial au niveau des cartilages condyliens Dans ses rapports des 24 février et 31 mars 2015, le Dr C.________ a observé une laxité globale antérieure chronique du genou droit et exposé que l’IRM réalisée le 13 février 2015 ne montrait pas de traumatisme récent. En rapport avec cet examen, il a également relevé une description au niveau du pivot central qui témoignait d’une déchirure du ligament croisé antérieur, relevant toutefois que cette déchirure devait être considérée comme ancienne dans la mesure où si elle remontait au 12 février 2015, on visualiserait d’autres lésions en rapport avec la déchirure, notamment une contusion osseuse et un épanchement intra- articulaire important. On constate que les avis de ces médecins divergent quant aux lésions subies par le recourant le 12 février 2015. Si le Dr C.________ a observé que la description faite dans le rapport d’IRM du 16 février 2015</w:t>
      </w:r>
    </w:p>
    <w:p>
      <w:r>
        <w:t>- 19 - au niveau du pivot central témoignait d’une déchirure du ligament croisé antérieur, il a considéré celle-ci comme ancienne, au contraire du Prof. S.________. Au vu des explications fournies par ces praticiens, au demeurant spécialistes en la matière, on peut attribuer à chacun de leur avis un caractère probant et il n’y a pas d’éléments objectifs pour en faire prévaloir un sur l’autre. On relève en outre que l’intimée n’a procédé à aucune instruction relative au déroulement de l’événement du 12 février 2015, de sorte que l’on ignore s’il s’agit d’un accident ou non. Elle s’est contentée de laisser cette question ouverte dans sa décision sur opposition, tout en relevant que l’on pouvait raisonnablement se demander si cet événement remplissait les critères de la notion d’accident au sens de l’art. 4 LPGA dès lors que le Dr X.________ avait évoqué un « traumatisme relativement bénin sans contact » et le Prof. S.________ un « traumatisme sportif indirect sous forme d’un pivot sur "poussée" ». Or, si l’atteinte subie par le recourant constitue une lésion assimilée au sens de l’art. 9 al. 2 OLAA, il y aurait lieu de savoir comment s’est déroulé l’événement du 12 février 2015 dès lors qu’à l’exception du caractère extraordinaire du facteur extérieur, toutes les autres conditions constitutives de la notion d’accident doivent être réalisées (cf. supra consid. 3e). Une instruction sur ce point se justifiait d’autant plus que les observations précitées desdits praticiens sont en contradiction avec la description de l’événement figurant dans la déclaration d’accident, qui mentionne un contact de jeu. Au vu de ce qui précède, les éléments au dossier ne permettent pas à la Cour de céans de statuer en pleine connaissance de cause. L’intimée s’est en effet prononcée sur la base d’un dossier incomplet et comportant des contradictions, en s’abstenant de procéder à des mesures d’instruction en vue, d’une part, de qualifier l’événement du 12 février 2015 et, d’autre part, de trancher objectivement les avis médicaux discordants au dossier. Il se justifie par conséquent d’ordonner le renvoi de la cause à l’intimée – à qui il appartient au premier chef d’instruire, conformément au principe inquisitoire qui régit la procédure dans le domaine des assurances sociales selon l’art. 43 al. 1 LPGA –, cette</w:t>
      </w:r>
    </w:p>
    <w:p>
      <w:r>
        <w:t>- 20 - solution apparaissant comme la plus opportune. Il appartiendra dès lors à l’intimée, après avoir clarifié les circonstances de l’événement du 12 février 2015, de mettre en œuvre le cas échéant une expertise médicale au sens de l’art. 44 LPGA auprès d’un spécialiste en chirurgie orthopédique. Cela fait, il lui incombera ensuite de rendre une nouvelle décision statuant sur les prétentions du recourant.</w:t>
      </w:r>
    </w:p>
    <w:p>
      <w:r>
        <w:rPr>
          <w:b/>
        </w:rPr>
        <w:t>E. 6</w:t>
      </w:r>
    </w:p>
    <w:p>
      <w:r>
        <w:t>a) En définitive, le recours doit être admis et la décision sur opposition attaquée annulée, la cause étant renvoyée à l’intimée pour complément d’instruction dans le sens des considérants, puis nouvelle décision. b) Il n’y a pas lieu de percevoir de frais judiciaires, la procédure étant gratuite (art. 61 let. a LPGA). c) Le recourant, qui obtient gain de cause en étant représenté par un mandataire professionnel a droit à des dépens, dont le montant doit en l’espèce être arrêté à 2'000 fr. compte tenu de l’importance et de la complexité de la cause, lesquels seront mis à la charge de l’intimée, qui succombe (art. 61 let. g LPGA ; art. 55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