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ZA15.025774 vom 12. Januar 2016</w:t>
      </w:r>
    </w:p>
    <w:p>
      <w:r>
        <w:t>VD Tribunal cantonal, 2016-01-12, FR</w:t>
      </w:r>
    </w:p>
    <w:p>
      <w:r>
        <w:rPr>
          <w:b/>
        </w:rPr>
        <w:t xml:space="preserve">Quelle: </w:t>
      </w:r>
      <w:r>
        <w:t>https://mcp.opencaselaw.ch/entscheid/vd_gerichte_ZA15.025774</w:t>
      </w:r>
    </w:p>
    <w:p>
      <w:r>
        <w:t>FR: VD_GERICHTE ZA15.025774 du 12 janvier 2016</w:t>
      </w:r>
    </w:p>
    <w:p>
      <w:r>
        <w:t>IT: VD_GERICHTE ZA15.025774 del 12 gennaio 2016</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Les décisions portant sur l’ordonnancement de la procédure – au sens de décisions incidentes (cf. Thierry Tanquerel, Manuel de droit administratif, Genève/Zurich/Bâle 2011, n. 828, p. 284 s ; Ueli Kieser, ATSG-Kommentar, Zurich/Bâle/Genève 2009, n. 30 ad art. 52 LPGA) – ne peuvent pas être attaquées par voie d’opposition (cf. art. 52 al. 1 LPGA), de sorte qu’elles sont directement attaquables par la voie du recours devant les tribunaux des assurances institués par les cantons (cf.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w:t>
      </w:r>
    </w:p>
    <w:p>
      <w:r>
        <w:t>- 6 -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ATF 138 V 271 consid. 1 ; ATF 137 V 210 consid. 3.4.2.6 et 3.4.2.7). c)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est seule litigieuse la question du mandat d'expertise confié au Dr K.________ selon décision du 4 juin 2015 ; le principe de l'expertise, la procédure de mise en œuvre et le questionnaire de l'expertise ne sont pas querellés par la recourante. A noter encore que si la recourante conteste la désignation du Dr K.________, les reproches qui avaient été faits au Dr T.________ sont de toute façon identiques.</w:t>
      </w:r>
    </w:p>
    <w:p>
      <w:r>
        <w:rPr>
          <w:b/>
        </w:rPr>
        <w:t>E. 2.2</w:t>
      </w:r>
    </w:p>
    <w:p>
      <w:r>
        <w:t>; TF 9C_67/2007 du 28 août 2007 consid. 2.4) ; ce qui est déterminant, c’est que l’expert puisse définir lui-même les modalités de l’expertise et qu’il jouisse d’une pleine et entière liberté d’appréciation (TF I 885/06 du 20 juin 2007 consid. 5.1).</w:t>
      </w:r>
    </w:p>
    <w:p>
      <w:r>
        <w:rPr>
          <w:b/>
        </w:rPr>
        <w:t>E. 3</w:t>
      </w:r>
    </w:p>
    <w:p>
      <w:r>
        <w:t>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w:t>
      </w:r>
    </w:p>
    <w:p>
      <w:r>
        <w:t>- 7 - celui-ci aux parties ; celles-ci peuvent récuser l'expert pour des raisons pertinentes et présenter des contre-propositions. b)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TF 9C_893/2009 du 22 décembre 2009 consid. 2.3.1).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w:t>
      </w:r>
    </w:p>
    <w:p>
      <w:r>
        <w:t>- 8 -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c)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w:t>
      </w:r>
    </w:p>
    <w:p>
      <w:r>
        <w:t>- 9 - sauvegarder les intérêts légitimes de celui-ci (ATF 119 V 456 consid. 5c ; ATF 115 V 257 consid. 5c). Toutefois,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et les arrêts cités ; ATF 132 V 376 consid. 6.2 ; ATF 123 V 175 consid. 4b ; TF 9C_366/2013 du 2 décembre 2013 consid. 5.3 ; TF 9C_519/2011 du 5 avril 2012 consid. 3.2). Il importe d’ailleurs peu qu’un médecin tire tout ou partie de ses revenus de son activité d’expert pour le compte d’un assureur (TF 9C_304/2010 du 12 mai 2010 consid.</w:t>
      </w:r>
    </w:p>
    <w:p>
      <w:r>
        <w:rPr>
          <w:b/>
        </w:rPr>
        <w:t>E. 4</w:t>
      </w:r>
    </w:p>
    <w:p>
      <w:r>
        <w:t>En l’espèce, la recourante soutient que la dépendance économique d’un expert envers un assureur fonde un soupçon de partialité et constitue un motif de récusation. Comme exposé (cf. supra consid. 3c), il ressort d’une jurisprudence constante et bien établie que le fait qu’un expert soit régulièrement mandaté par un assureur et l’étendue des honoraires en résultant ne constituent pas à eux seuls des motifs suffisants pour conclure au manque d’objectivité et à la partialité de l’expert, quand bien même il en retirerait l’entier de ses revenus. Ces éléments ne constituant pas une preuve pertinente pour établir les faits relatifs à la récusation, c’est donc à juste titre que l’intimée n’a pas donné suite à la requête de renseignements présentée par la recourante concernant le nombre de mandats confiés aux experts proposés ainsi que le montant des honoraires qu’ils en retiraient (TF 9C_366/2013 du 2 décembre 2013).</w:t>
      </w:r>
    </w:p>
    <w:p>
      <w:r>
        <w:t>- 10 - Excepté la prétendue trop grande dépendance économique de l’expert envers l’assureur, la recourante ne fait valoir aucun autre élément permettant de faire naître un doute quant à l’impartialité ou l’indépendance du Dr K.________, qui n’est au demeurant pas le médecin- conseil de l’intimée, ce qui exclut tout devoir de loyauté découlant d’un contrat de travail. Contrairement à ce que soutient la recourante, le fait qu’elle ait d’emblée cherché à s’enquérir de l’éventuelle dépendance économique des experts proposés à l’égard de l’intimée ne permet pas davantage de rendre cette circonstance pertinente pour juger de leur éventuelle partialité. Si le Tribunal fédéral a relevé dans l’arrêt 9C_519/2011 du 5 avril 2012 (consid. 3.2) que se prévaloir d’un tel argument après avoir pris connaissance du résultat défavorable de l’expertise constituait un abus de droit et excluait de faire valoir un motif de récusation, cette considération ne permet pas d’inférer que la Haute cour aurait modifié sa pratique constante et jugé ce grief pertinent pour la récusation s’il avait été invoqué d’emblée au stade de l’interpellation de l’assuré sur le choix des experts proposés. La recourante soutient enfin que le fait que l’intimée ait finalement mandaté expert le seul Dr K.________ suite aux reproches formulés à l’encontre du Dr T.________, alors que son courrier du 31 octobre 2014 aurait laissé entendre que l’expertise serait confiée à ces deux praticiens, est de nature à renforcer le soupçon de partialité à l’égard des experts choisis. Cet argument ne convainc pas. Si le courrier du 31 octobre 2014 de l’intimée ne l’indiquait pas clairement, ceux des 17 novembre 2014 et 22 avril 2015 précisaient sans ambiguïté que le mandat d’expertise serait confié au Dr K.________ ou au Dr T.________. On cerne dès lors mal en quoi le choix opéré par l’intimée en faveur d’un des deux experts alternativement proposés serait de nature à renforcer un soupçon de partialité de ces derniers, ceux d’autant plus que les reproches formulés par la recourante quant à la dépendance économique des experts concernaient indifféremment les deux praticiens proposés.</w:t>
      </w:r>
    </w:p>
    <w:p>
      <w:r>
        <w:t>- 11 - Dans ces conditions, la décision incidente rendue le 4 juin 2015 par l’intimée n’apparaît pas critiquable et peut être confirmée.</w:t>
      </w:r>
    </w:p>
    <w:p>
      <w:r>
        <w:rPr>
          <w:b/>
        </w:rPr>
        <w:t>E. 5</w:t>
      </w:r>
    </w:p>
    <w:p>
      <w:r>
        <w:t>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complémentaires requises par la recourante, soit inviter le Dr K.________ à donner des renseignements sur le nombre de mandats qui lui ont été confiés par l’intimée et par d’autres assureurs sur les trois dernières années ainsi que sur le montant des honoraires ainsi encaissés, apparaissent ainsi superflues et, comme exposé ci-dessus (consid. 4), dénuées de pertinence. Elles peuvent dès lors être rejetées.</w:t>
      </w:r>
    </w:p>
    <w:p>
      <w:r>
        <w:rPr>
          <w:b/>
        </w:rPr>
        <w:t>E. 6</w:t>
      </w:r>
    </w:p>
    <w:p>
      <w:r>
        <w:t>a) En définitive, le recours doit être rejeté et la décision incidente litigieuse confirmée. b) La procédure étant gratuite (art. 61 let. a LPGA), il n’y a pas lieu de percevoir de frais judiciaires. c) La recourante, qui n’obtient pas gain de cause, n’a pas droit à des dépens. Quoique l’intimée obtienne en revanche gain de cause, elle ne saurait prétendre à des dépens de la part de la recourante. En effet, selon la jurisprudence, l’assureur social qui obtient gain de cause devant une juridiction de première instance n’a pas droit à des dépens, sous réserve du cas où le demandeur a agi de manière téméraire ou témoigné de légèreté (ATF 126 V 143 consid. 4), ce qui n’est pas réalisé en l’espèce.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