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ZA15.024069 vom 10. Februar 2016</w:t>
      </w:r>
    </w:p>
    <w:p>
      <w:r>
        <w:t>VD Tribunal cantonal, 2016-02-10, FR</w:t>
      </w:r>
    </w:p>
    <w:p>
      <w:r>
        <w:rPr>
          <w:b/>
        </w:rPr>
        <w:t xml:space="preserve">Quelle: </w:t>
      </w:r>
      <w:r>
        <w:t>https://mcp.opencaselaw.ch/entscheid/vd_gerichte_ZA15.024069</w:t>
      </w:r>
    </w:p>
    <w:p>
      <w:r>
        <w:t>FR: VD_GERICHTE ZA15.024069 du 10 février 2016</w:t>
      </w:r>
    </w:p>
    <w:p>
      <w:r>
        <w:t>IT: VD_GERICHTE ZA15.024069 del 10 febbraio 2016</w:t>
      </w:r>
    </w:p>
    <w:p>
      <w:pPr>
        <w:pStyle w:val="Heading2"/>
      </w:pPr>
      <w:r>
        <w:t>Erwägungen</w:t>
      </w:r>
    </w:p>
    <w:p>
      <w:r>
        <w:rPr>
          <w:b/>
        </w:rPr>
        <w:t>E. 27</w:t>
      </w:r>
    </w:p>
    <w:p>
      <w:r>
        <w:t>mars 2015 et le versement des prestations de l’assurance-accidents depuis octobre 2014. La Vaudoise a rendu sa décision sur opposition le 13 mai 2015, rejetant les arguments de l’assurée et confirmant sa décision du 27 mars 2015. Elle a réitéré qu’aucun facteur extérieur extraordinaire n’avait concouru à l’événement du</w:t>
      </w:r>
    </w:p>
    <w:p>
      <w:r>
        <w:t>- 6 - 26 janvier 2011, ce qui excluait la réalisation de la notion d’accident. Elle a derechef nié que la luxation de la rotule subie par l’assurée fût une lésion assimilée à un accident, précisément en l’absence de facteur extérieur d’une importance significative ou présentant un risque spécial de lésion. Elle a également relevé que cette lésion ne ressortait pas davantage à une maladie professionnelle. E. L’assurée, représentée par Me Philippe Chaulmontet, a déféré la décision sur opposition du 13 mai 2015 à la Cour des assurances sociales du Tribunal cantonal par acte de recours du 11 juin 2015, concluant à son annulation et à la prise en charge par la Vaudoise de l’ensemble des conséquences de l’événement du 26 janvier 2011. Elle a exposé une nouvelle fois avoir « glissé sur le couvercle d’un conteneur de médicaments » et « perdu l’équilibre » sur son lieu de travail, ce qui était propre à interrompre le mouvement naturel du corps et constituait un facteur extérieur extraordinaire. Si le caractère extraordinaire venait à être exclu, il n’en demeurerait pas moins que l’atteinte à la santé résultant de l’événement du 26 janvier 2011 devrait être considérée comme une lésion assimilable à un accident. En dépit d’une certaine confusion quant au déroulement précis des faits, les conditions mises à la reconnaissance d’un accident, respectivement d’une lésion assimilée à un accident s’avérant à son sens réalisées, l’assurée a déduit que la Vaudoise devait servir ses prestations pour la totalité des suites de l’événement incriminé. Par requête préalable du 3 juin 2015, complétée les 12 et 24 juin 2015, la recourante a sollicité le bénéfice de l’assistance judiciaire, laquelle lui a été accordée par décision du juge instructeur du 18 août 2015 avec effet dès le 11 juin 2015, en ce sens qu’elle a été exonérée de frais judiciaires et que Me Philippe Chaulmontet a été désigné en tant qu’avocat commis d’office. L’intimée a produit sa réponse au recours le 16 juillet 2015, en proposant le rejet et renvoyant aux développements contenus dans la décision sur opposition litigieuse.</w:t>
      </w:r>
    </w:p>
    <w:p>
      <w:r>
        <w:t>- 7 - La recourante a répliqué le 23 septembre 2015, proposant l’audition d’un témoin indirect de la « glissade à l’origine de la luxation de son genou » et la mise en place d’une expertise destinée à démontrer que l’atteinte subie à ce genou ne pouvait que résulter d’un événement traumatique particulier, ainsi que l’avait observé son médecin traitant.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w:t>
      </w:r>
    </w:p>
    <w:p>
      <w:r>
        <w:t>- 8 - c) Le recours a été interjeté devant le tribunal compétent en temps utile par l’assurée qui a qualité pour agir (cf. art. 59 LPGA). Il respecte en outre les autres conditions de forme prévues par la loi (cf. art. 61 let. b LPGA notamment),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w:t>
      </w:r>
    </w:p>
    <w:p>
      <w:r>
        <w:t>- 9 - b) Est en l’espèce litigieuse la qualification de l’événement du 26 janvier 2011, soit la question de savoir s’il réunit les conditions posées à l’art. 4 LPGA pour être considéré comme un accident. Singulièrement, il y a lieu de déterminer si un facteur extérieur extraordinaire peut être admis après analyse du déroulement de l’événement incriminé. La recourante soutient pour sa part avoir été déséquilibrée avant de ressentir le lâchage de son genou, expliquant subséquemment avoir glissé sur le couvercle d’un bac de commandes. L’événement en cause devait donc être considéré comme un accident, tandis que la lésion de son genou constituerait à son sens de toute façon une lésion assimilable à un accident. Quant à l’intimée, elle retient des propos tenus par l’assurée le 16 mars 2015 au cours d’un entretien avec un de ses collaborateurs qu’il ne se serait strictement rien passé de particulier de nature à justifier la luxation de la rotule diagnostiquée en janvier 2011. La Vaudoise a en conséquence nié aussi bien la réalisation d’un cas d’accident au sens de l’art. 4 LPGA que l’applicabilité éventuelle de l’art. 9 al. 2 OLAA (ordonnance du 20 décembre 1982 sur l’assurance-accidents ; RS 832.202), en l’absence de tout facteur extérieur qui serait survenu dans le déroulement de l’incident du 26 janvier 2011. Le droit aux prestations de l’assurance-accidents est au surplus querellé uniquement à compter du mois d’octobre 2014 dans la mesure où l’intimée a expressément renoncé à reconsidérer sa prise en charge antérieure des suites immédiates de l’événement en cause. Le bien-fondé de la prise en charge du cas par la Vaudoise en 2011, soit le versement d’indemnités journalières et le paiement des frais de traitement, ne constitue dès lors pas l’objet de la présente contestation. 3. Préalablement, on rappellera que dans le domaine des assurances sociales, le juge fonde sa décision, sauf dispositions contraires</w:t>
      </w:r>
    </w:p>
    <w:p>
      <w:r>
        <w:t>- 10 -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130 III 321 consid. 3.2 et 3.3). Aussi n'existe-t-il pas, en droit des assurances sociales, un principe selon lequel l'administration ou le juge devrait statuer, dans le doute, en faveur de l'assuré (ATF 126 V 319 consid. 5a ; TF 8C_513/2011 du 22 mai 2012 consid. 5.1).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Enfin,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références citées ; RAMA 2004 n° U 515 p. 420 consid. 1.2 ; VSI 2000 p. 201 consid. 2d). En l’espèce, la recourante a proposé l’audition d’une ancienne collègue, témoin indirect de l’incident du 26 janvier 2011, ainsi que la</w:t>
      </w:r>
    </w:p>
    <w:p>
      <w:r>
        <w:t>- 11 - mise en œuvre d’une expertise destinée à déterminer l’origine éventuellement traumatique de la symptomatologie l’affectant à nouveau depuis octobre 2014. Cela étant, s’agissant de cette dernière mesure, elle apparaît superflue dans le contexte d’un examen limité à la qualification de l’événement incriminé, tandis que l’audition d’un témoin indirect – n’ayant donc pas assisté à cet incident – ne permettrait vraisemblablement pas d’apporter un éclairage pertinent par rapport aux déclarations de la recourante. Une appréciation anticipée des preuves justifie en conséquence d’écarter les mesures d’instruction requises par la recourante. 4. Doit en premier lieu être déterminé si l’événement du 26 janvier 2011 remplit les conditions mises à la reconnaissance d’un accident.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w:t>
      </w:r>
    </w:p>
    <w:p>
      <w:r>
        <w:t>- 12 - (ATF 129 V 402 consid. 2.1 et les références ; 122 V 230 consid. 1 ; TF [Tribunal fédéral] 8C_767/2012 du 18 juillet 2013 consid. 3.1). b) Le facteur doit être extérieur en ce sens qu'il doit s'agir d'une cause externe et non interne au corps humain (cf. Jean-Maurice Frésard/Margit Moser-Szeless, L'assurance-accidents obligatoire, in Soziale Sicherheit, [SBVR] vol. XIV, 2ème éd., Bâle/Genève/Munich 2007, p. 859 n° 66 ; ATF 139 V 327 consid. 3.3.1). 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ainsi que la référence citée ; TF 8C_292/2014 du 18 août 2014 consid. 5.1). 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 le facteur extérieur – modification entre le corps et l'environnement extérieur – constitue alors en même temps le facteur extraordinaire en raison du déroulement non programmé du mouvement (Frésard/Moser-Szeless, op.cit., p. 861 ss, n° 74 ; ATF 134 V 72 consid. 4.3.1 ; 129 V 402 consid. 2 ; TF 8C_194/2015 du 11 août 2015 consid. 3) Lorsque la lésion se limite à une atteinte corporelle interne qui pourrait également survenir à la suite d'une maladie, le mouvement non coordonné doit en apparaître comme la cause directe selon des</w:t>
      </w:r>
    </w:p>
    <w:p>
      <w:r>
        <w:t>- 13 - circonstances particulièrement évidentes (RAMA 1999 n° U 345 p. 422 consid. 2b et les références). Au sujet de la preuve de l'existence d'une cause extérieure prétendument à l'origine de l'atteinte à la santé, on ajoutera que les explications d'un assuré sur le déroulement d'un fait allégué sont au bénéfice d'une présomption de vraisemblance (TF 8C_184/2012 du 21 février 2013 consid. 4). 4. a) In casu, eu égard aux conditions posées par l’art. 4 LPGA, l’intimée ne conteste pas la survenance d’une atteinte à la santé dommageable, ni son caractère involontaire, pas plus que son caractère soudain. En revanche, elle a retenu l’absence de tout facteur extérieur extraordinaire pour dénier la qualification d’accident à l’événement survenu le 26 janvier 2011. Ce faisant, elle s’est exclusivement fondée sur les déclarations de la recourante, telle que consignées le 16 mars 2015 par son inspecteur de sinistres, relevant dans la décision sur opposition entreprise qu’il ne se serait « absolument rien produit de particulier le 26 janvier 2011, ni choc, ni chute, ni glissade », soit « pas le moindre facteur déclenchant déterminé ». b) S’agissant précisément de la condition querellée du facteur extérieur extraordinaire concourant à l’événement du 26 janvier 2011, il faut certes convenir avec l’intimée que la description des faits correspondants communiquée par l’assurée est peu claire, voire fluctuante. La déclaration d’accidents initiale, datée du 31 janvier 2011, mentionne en effet une chute, alors que l’assurée a expressément nié être tombée dans ses explications ultérieures, soit en particulier celles communiquées le 16 mars 2015.</w:t>
      </w:r>
    </w:p>
    <w:p>
      <w:r>
        <w:t>- 14 - Cela étant, quoi qu’en dise l’intimée, la version des faits relatée le 16 mars 2015, n’apparaît – au degré de la vraisemblance prépondérante – nullement incompatible avec la survenance d’un facteur extérieur interrompant le déroulement habituel et normal d’un mouvement corporel, au sens entendu par la jurisprudence rappelée supra sous considérant 3c. Le rapport d’entretien du 16 mars 2015 fait à ce sujet sans équivoque état d’un probable déséquilibre, quand bien même la recourante a indiqué ne plus se souvenir précisément du contexte corrélatif. Elle a néanmoins exposé ultérieurement, tant dans son acte d’opposition que dans ses écritures à la Cour de céans, avoir « glissé sur le couvercle d’un bac de médicaments ». Si ces déclarations peuvent être sujettes à caution au regard de la jurisprudence rendue en lien avec des versions divergentes d’un même état de fait (cf. considérant 3d supra), il n’en demeure pas moins qu’elles concordent avec la notion d’un déséquilibre susceptible d’avoir causé la luxation de la rotule observée auprès de la recourante. Au surplus, l’événement décrit, soit une « glissade », peut avoir été perçu comme une « chute » telle que mentionnée dans la déclaration de sinistre initiale du 31 janvier 2011. Compte tenu de ces éléments, ainsi que de la présomption de vraisemblance attachée aux propos de l’assurée dans l’examen de la survenance d’un facteur extérieur, il y a lieu de retenir que la recourante a très probablement été déséquilibrée en manipulant des médicaments le 26 janvier 2011, soit en glissant ou en s’encoublant sur le couvercle d’un bac de commandes. Un tel « mouvement non coordonné » implique au demeurant la reconnaissance de la survenance d’un facteur extérieur extraordinaire au regard de la jurisprudence du Tribunal fédéral sur cette question. c) En conséquence, contrairement à ce que soutient l’intimée, vu la réalisation de l’ensemble des conditions mises à la reconnaissance</w:t>
      </w:r>
    </w:p>
    <w:p>
      <w:r>
        <w:t>- 15 - d’un cas d’accident au sens de l’art. 4 LPGA, l’événement du 26 janvier 2011 doit être considéré comme tel. 5. Il convient en second lieu d’examiner les arguments de la recourante en lien avec la présence d’une lésion assimilable à un accident au sens de l’art. 9 al. 2 OLAA. Cette dernière soutient que cette disposition s’applique à la luxation de son genou équivalant à son avis à un déboîtement d’articulation et entraîne ipso facto la prise en charge de l’ensemble des conséquences financières résultant de l’événement du 26 janvier 2011. a) A teneur de l’art. 6 al. 2 LAA,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let. a. les fractures ; let. b. les déboîtements d’articulations ; let. c. les déchirures du ménisque ; let. d. les déchirures de muscles ; let. e. les élongations de muscles ; let. f. les déchirures de tendons ; let. g. les lésions de ligaments ; let. h. les lésions du tympan.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w:t>
      </w:r>
    </w:p>
    <w:p>
      <w:r>
        <w:t>- 16 - OLAA – dont la liste est exhaustive (ATF 123 V 43 consid. 2b) – sont assimilées à un accident même si elles ont, pour l'essentiel, une origine vraisemblablement maladive ou dégénérative, pour autant qu'une cause extérieure ait, au moins, déclenché les symptômes dont souffre l'assuré (ATF 139 V 327 consid. 3.1 ; 129 V 466 et 123 V 43 consid. 2b). c)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 TFA U 96/05 du 20 mai 2006 consid. 2.2). d) Dans le cas particulier, on peut certes concéder que la luxation de la rotule droite diagnostiquée auprès de la recourante s’apparente a priori au déboîtement d’une articulation au sens de l’art. 9 al. 2 let. b OLAA. Quand bien même la survenance d’un facteur extérieur concourant à l’événement incriminé a été admise (cf. considérant 4 supra), cet élément n’est pas à lui seul suffisant pour imposer à la Vaudoise de prendre en charge les prestations engendrées par la symptomatologie affectant la recourante depuis octobre 2014. En l’état actuel du dossier, ainsi qu’il sera exposé infra au considérant 6, il n’est en effet pas possible de se prononcer sur les autres conditions mises à l’obligation de prester de l’assurance-accidents, contrairement à la conclusion en ce sens prise par la recourante.</w:t>
      </w:r>
    </w:p>
    <w:p>
      <w:r>
        <w:t>- 17 - 6. a) A teneur de l’art. 11, première phrase, OLAA, les prestations d’assurance sont versées en cas de rechutes et de séquelles tardives. Dans ces hypothèses, l'assuré peut donc à nouveau prétendre à la prise en charge du traitement médical et, en cas d'incapacité de travail, au paiement d'indemnités journalières. b) Selon la jurisprudence, il y a rechute ou séquelle tardive lorsqu’une atteinte à la santé est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 cités ; TF 8C_1023/2008 du 1er décembre 2009 consid. 5.3).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RAMA 1994 n°U 206 p. 327 consid. 2). Il incombe à l’assuré d’établir, au degré de vraisemblance prépondérante, l’existence d’un rapport de causalité entre l’état pathologique qui se manifeste à nouveau et l’accident. c) In casu, on ignore si les troubles présentés par l’assurée à compter d’octobre 2014 sont effectivement en lien de causalité avec l’événement du 26 janvier 2011 et s’ils peuvent être qualifiés de rechute au sens entendu par l’art. 11, première phrase, OLAA. Aucun des médecins spécialistes consultés par l’assurée ne s’est clairement prononcé à cet égard. Alors même qu’un traumatisme a été pris en compte pour expliquer – à tout le moins partiellement – la</w:t>
      </w:r>
    </w:p>
    <w:p>
      <w:r>
        <w:t>- 18 - péjoration des troubles affectant l’assurée, il n’en demeure pas moins qu’une instabilité ou hypermobilité rotulienne, ainsi que des troubles statiques ont été relevés dans le contexte d’une instabilité globale des membres inférieurs (cf. rapports des Drs H.________ et K.________, datés respectivement des 27 janvier 2015 et 18 février 2015). En outre, on rappellera que les rapports d’IRM du 16 octobre 2014 n’ont mis en évidence aucune anomalie majeure du genou droit de l’assurée. Contrairement au raisonnement soutenu par la recourante, on ne saurait déduire à ce stade que la Vaudoise serait dans l’obligation de fournir ses prestations dès octobre 2014 au seul motif de l’allégation de douleurs du genou droit, ce même si la luxation de la rotule diagnostiquée des suites de l’événement du 26 janvier 2011 devait être assimilée à un déboîtement d’articulation. Le dossier n’étant pas suffisamment instruit sur l’ensemble des conditions du droit aux prestations, singulièrement sur les conditions imposées par l’art. 11, première phrase, OLAA, il s’impose de renvoyer la cause à l’intimée pour en compléter l’instruction, en tenant compte du caractère accidentel reconnu à l’incident du 26 janvier 2011, avant de statuer sur son éventuelle obligation de prester. 7. En définitive, le recours peut être admis et la décision sur opposition litigieuse annulée, sous suite de reconnaissance du caractère accidentel de l’événement du 26 janvier 2011 au sens de l’art. 4 LPGA. La cause est au surplus renvoyée à la Vaudoise pour statuer sur les autres conditions du droit à la prise en charge des prestations revendiquées dès octobre 2014. 8. a) La procédure étant gratuite, il n'est pas perçu de frais de justice (cf. art. 61 let. a LPGA).</w:t>
      </w:r>
    </w:p>
    <w:p>
      <w:r>
        <w:t>- 19 - b) Obtenant gain de cause, la recourante, assistée d'un mandataire professionnel, a par ailleurs droit à des dépens, fixés in casu à 2'000 fr. (art. 61 let. g LPGA et 55 al. 1 LPA-VD). Cette indemnité permet de couvrir les honoraires de l’avocat d’office désigné aux termes de la décision du 18 août 2015, compte tenu de la nature et de la complexité du litige, de sorte qu’il apparaît superflu de fixer précisément la rémunération de Me Chaulmontet au titre de l’assistance judiciaire.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