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ZA15.016411 vom 31. Mai 2017</w:t>
      </w:r>
    </w:p>
    <w:p>
      <w:r>
        <w:t>VD Tribunal cantonal, 2017-05-31, FR</w:t>
      </w:r>
    </w:p>
    <w:p>
      <w:r>
        <w:rPr>
          <w:b/>
        </w:rPr>
        <w:t xml:space="preserve">Quelle: </w:t>
      </w:r>
      <w:r>
        <w:t>https://mcp.opencaselaw.ch/entscheid/vd_gerichte_ZA15.016411</w:t>
      </w:r>
    </w:p>
    <w:p>
      <w:r>
        <w:t>FR: VD_GERICHTE ZA15.016411 du 31 mai 2017</w:t>
      </w:r>
    </w:p>
    <w:p>
      <w:r>
        <w:t>IT: VD_GERICHTE ZA15.016411 del 31 maggio 2017</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la recourante est domiciliée dans le canton de Vaud. Son recours a été interjeté en temps utile compte tenu des féries pascales (art. 38 al. 4 let. a LPGA), auprès du tribunal compétent. Respectant pour le surplus les autres conditions de forme prévues par la loi (art. 61 let. b LPGA), il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du Tribunal cantonal est compétente pour statuer (art. 93 let. a LPA-VD). S’agissant d’une contestation relative à la différence entre le taux de l’indemnité pour atteinte à l’intégrité retenu par l’intimée de 30% (soit 19'160 fr.) et celui de 40% auquel prétend la recourante (soit 38'800 fr.), la présente cause relève de la compétence d’un membre du Tribunal cantonal, statuant en tant que juge unique (art. 94 al. 1 let. a LPA-VD).</w:t>
      </w:r>
    </w:p>
    <w:p>
      <w:r>
        <w:t>- 11 -</w:t>
      </w:r>
    </w:p>
    <w:p>
      <w:r>
        <w:rPr>
          <w:b/>
        </w:rPr>
        <w:t>E. 2</w:t>
      </w:r>
    </w:p>
    <w:p>
      <w:r>
        <w:t>a) En l’espèce, sont litigieux le taux et le montant de l’indemnité pour atteinte à l’intégrité en faveur de la recourante. Un taux de 30% a été reconnu par l’intimée dans la décision attaquée, alors que la recourante conclut à un taux de 40%. b) On précisera que les modifications introduites par la novelle du 25 septembre 2015, entrée en vigueur le 1er janvier 2017, ne sont pas applicables au cas d’espèce (cf. ch. 1 des dispositions transitoires relatives à cette modification [RO 2016 4388] ; cf. aussi ATF 136 V 24 consid. 4.3 ; 130 V 445 consid. 1.2.1 ; 129 V 1 consid. 1.2 ; TF 9C_446/2013 du 21 mars 2014 consid. 4.2).</w:t>
      </w:r>
    </w:p>
    <w:p>
      <w:r>
        <w:rPr>
          <w:b/>
        </w:rPr>
        <w:t>E. 3</w:t>
      </w:r>
    </w:p>
    <w:p>
      <w:r>
        <w:t>Selon l’art. 6 al. 1 LAA, les prestations d’assurance sont allouées en cas d’accident professionnel, d’accident non professionnel ou de maladie professionnelle. Aux termes de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du 20 décembre 1982 sur l’assurance-accidents ;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Conformément à l’art. 24 al. 2 LAA, si l’assuré ne peut prétendre une rente, l'indemnité est fixée, lorsque le traitement médical est terminé. L’art. 24 al. 2 LAA prescrit non seulement quand l’assureur- accidents doit rendre une décision sur une indemnité pour atteinte à l’intégrité, mais fixe également le moment déterminant pour examiner les</w:t>
      </w:r>
    </w:p>
    <w:p>
      <w:r>
        <w:t>- 12 - conditions matérielles d’octroi d’une telle indemnité (TF 8C_592/2012 du 23 novembre 2012 consid. 4.2). Dès lors que l’indemnité pour atteinte à l’intégrité sert de compensation à un dommage de durée, un droit à son octroi ne peut être jugé que lorsque l’état de santé de l’assuré a été stabilisé et qu’aucune amélioration ne peut être attendue par des mesures médicales.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 in : Schweizerisches Bundesverwaltungsrecht, Soziale Sicherheit, 3e éd., Bâle 2016, n° 311 p. 998). Cela signifie que pour tous les assurés présentant un status médical identique, l’atteinte à l’intégrité est la même (ATF 115 V 147 consid. 1; 113 V 218 consid. 4b; RAMA 2004 n° U 514 p. 415, U 134/03 du 12 janvier 2004, consid. 5.2; RAMA 2000 n°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in : SVR 2009 UV n° 27 p. 97 ; voir</w:t>
      </w:r>
    </w:p>
    <w:p>
      <w:r>
        <w:t>- 13 - également Thomas Frei, Die lntegritätsentschädigung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 p. 1000). L’annexe 3 de I’OLAA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Il sera par ailleurs équitablement tenu compte des aggravations prévisibles de l’atteinte (art. 36 al. 4 OLAA).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I’OLAA (ATF 124 V 209 consid. 4a/cc; 116 V 156 consid. 3a; RAMA 1998 n° U 296 p. 235, U 245/96, consid. 2a). La table 5 de la Division médicale de la CNA traite des atteintes à l'intégrité résultant d'arthroses; un taux de 10 à 30% est prévu pour une coxarthrose moyenne, et de 30 à 40% pour une coxarthrose grave; un taux de 20% est prévu pour une endoprothèse avec un bon résultat, et de 40% avec un résultat mauvais. Si l’articulation considérée présente une instabilité en plus de l’arthrose, il convient de retenir le taux</w:t>
      </w:r>
    </w:p>
    <w:p>
      <w:r>
        <w:t>- 14 - d’atteinte à l’intégrité le plus élevé. Cela étant, selon la jurisprudence, l'évaluation de l'atteinte à l'intégrité en cas d'implantation de prothèses ou d'endoprothèses doit reposer sur l'état de santé non corrigé, comme en cas de remise d'un moyen auxiliaire (TF 8C_542/2012 du 8 juillet 2013 consid. 7.2; TFA U 56/05 du 18 juillet 2005, in RAMA 2005 n° U 562 p. 435; TFA U 313/02 du 4 septembre 2003, in RAMA 2003 n° U 496 p. 403).</w:t>
      </w:r>
    </w:p>
    <w:p>
      <w:r>
        <w:rPr>
          <w:b/>
        </w:rPr>
        <w:t>E. 4</w:t>
      </w:r>
    </w:p>
    <w:p>
      <w:r>
        <w:t>a) Par décision sur opposition du 24 mars 2015, l’intimée a retenu un taux d’atteinte à l’intégrité de 30% en application de la table 5 dans le cas d’une arthrose grave sans instabilité, alors que son médecin- conseil, le Dr X.________, s’était prononcé en faveur d’un taux de 25% « équivalent à la moitié de la valeur du membre inférieur qui est fixée à 50% en LAA ». La recourante soutient que l’intimée a retenu de manière erronée un taux de 30% alors que ce taux aurait dû être de 40%, conformément à l’appréciation des Drs W.________, F.________ et B.________. b) En procédure judiciaire, l’intimée ne conteste plus que la fixation du taux d’atteinte à l’intégrité s’effectue en application de la table</w:t>
      </w:r>
    </w:p>
    <w:p>
      <w:r>
        <w:rPr>
          <w:b/>
        </w:rPr>
        <w:t>E. 5</w:t>
      </w:r>
    </w:p>
    <w:p>
      <w:r>
        <w:t>de la CNA relative aux atteintes à l’intégrité résultant d’arthroses. Partant, l’estimation à 25% du Dr X.________ du 2 juin 2014 doit être écartée, car fondée sur un critère étranger au tableau déterminant. Elle ne disconvient pas davantage du caractère grave de l’arthrose présentée par la recourante. Est en revanche disputée la question de savoir si, outre l’existence de l’arthrose, le genou gauche présente une instabilité. Trancher le litige revient donc à déterminer quel taux d’atteinte à l’intégrité retenir en cas de pose d’une prothèse avant l’arthroplastie totale du 14 octobre 2011, postérieure à la rechute annoncée au début de l’année 2011 ainsi qu’à l’arthroscopie pratiquée le</w:t>
      </w:r>
    </w:p>
    <w:p>
      <w:r>
        <w:rPr>
          <w:b/>
        </w:rPr>
        <w:t>E. 6</w:t>
      </w:r>
    </w:p>
    <w:p>
      <w:r>
        <w:t>La procédure étant gratuite (art. 61 let. a LPGA), il ne sera pas perçu de frais judiciaires. La recourante, qui obtient gain de cause avec le concours de mandataires professionnels, a droit à des dépens (art. 61 let. g LPGA et 55 al. 1 LPA-VD). Selon l’art. 11 al. 2 TFJDA (tarif cantonal vaudois du 28 avril 2015 des frais judiciaires et des dépens en matière administrative ; RSV 173.36.5.1), les dépens sont fixés d’après</w:t>
      </w:r>
    </w:p>
    <w:p>
      <w:r>
        <w:t>- 17 - l’importance de la cause, ses difficultés et l’ampleur du travail effectué ; ils sont compris entre 500 et 10'000 francs. En l’occurrence, il convient d’arrêter le montant des dépens à 2'000 fr. et les mettre à la charge de l’assureur intimé, qui succombe (art. 55 al. 2 LPA-VD). Par ces motifs, le juge unique p r o n o n c e : I. Le recours est admis. II. La décision sur opposition rendue le 24 mars 2015 par Allianz Suisse Société d’Assurances SA est réformée en ce sens que L.________ est mise au bénéfice d’une indemnité pour atteinte à l’intégrité fondée sur un taux de 40%. III. Il n’est pas perçu de frais de justice. IV. Allianz Suisse Société d’Assurances SA versera à L.________ une indemnité de 2'000 fr. (deux mille francs) à titre de dépens. Le juge unique : Le greffier : Du L'arrêt qui précède est notifié à : - Mes Jean-Michel Duc et Marie Signori, avocats (pour L.________), - Allianz Suisse Société d’Assurances SA, - Office fédéral de la santé publique,</w:t>
      </w:r>
    </w:p>
    <w:p>
      <w:r>
        <w:t>- 18 -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