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ZA15.015603 vom 30. Oktober 2015</w:t>
      </w:r>
    </w:p>
    <w:p>
      <w:r>
        <w:t>VD Tribunal cantonal, 2015-10-30, FR</w:t>
      </w:r>
    </w:p>
    <w:p>
      <w:r>
        <w:rPr>
          <w:b/>
        </w:rPr>
        <w:t xml:space="preserve">Quelle: </w:t>
      </w:r>
      <w:r>
        <w:t>https://mcp.opencaselaw.ch/entscheid/vd_gerichte_ZA15.015603</w:t>
      </w:r>
    </w:p>
    <w:p>
      <w:r>
        <w:t>FR: VD_GERICHTE ZA15.015603 du 30 octobre 2015</w:t>
      </w:r>
    </w:p>
    <w:p>
      <w:r>
        <w:t>IT: VD_GERICHTE ZA15.015603 del 30 ottobre 2015</w:t>
      </w:r>
    </w:p>
    <w:p>
      <w:pPr>
        <w:pStyle w:val="Heading2"/>
      </w:pPr>
      <w:r>
        <w:t>Erwägungen</w:t>
      </w:r>
    </w:p>
    <w:p>
      <w:r>
        <w:rPr>
          <w:b/>
        </w:rPr>
        <w:t>E. 1</w:t>
      </w:r>
    </w:p>
    <w:p>
      <w:r>
        <w:t>let. a LPA-VD). b) En l’espèce, déposé en temps utile auprès du tribunal compétent, selon les formes prescrites par la loi, le recours est recevable. La valeur litigieuse correspond à la moitié des indemnités journalières auxquelles le recourant pouvait prétendre du 11 février au 24 novembre 2014 qui a été déduite par l’intimée, soit 74 fr. 20 durant 287 jours, étant précisé que les dates de naissance et d’extinction du droit n’ont pas été contestées. Dès lors qu’elle est inférieure à 30'000 fr. (74 fr. 20 x 287 jours), la présente cause relève de la compétence d’un membre de la Cour, statuant en tant que juge unique.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était fondée à opérer une réduction de moitié sur les prestations en espèces versées au recourant au motif que ce dernier aurait pris part à une bagarre. On relèvera en revanche que les dates de naissance et d’extinction du droit à ces prestations ne sont pas contestées, ni le montant de l’indemnité journalière en tant que tel.</w:t>
      </w:r>
    </w:p>
    <w:p>
      <w:r>
        <w:t>- 10 -</w:t>
      </w:r>
    </w:p>
    <w:p>
      <w:r>
        <w:rPr>
          <w:b/>
        </w:rPr>
        <w:t>E. 3</w:t>
      </w:r>
    </w:p>
    <w:p>
      <w:r>
        <w:t>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(ordonnance fédérale du 20 décembre 1982 sur l’assurance-accidents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 gens qui se battent, circonscrite dans le temps et l’espace. Il s’agit donc d’une notion plus large que celle de l’art. 133 CP (code pénal suisse du 21 décembre 1937 ;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(TFA U 361/98 du 10 mars 2000 consid. 2b ; ATF 107 V 235 consid. 2a, rendu sous l’empire de l’ancienne loi fédérale du 13 juin 1911 sur l’assurance-maladie [LAMA] mais dont les considérants demeurent valables).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(Rumo-</w:t>
      </w:r>
    </w:p>
    <w:p>
      <w:r>
        <w:t>- 11 - Jungo, Die Leistungskürzung oder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w:t>
      </w:r>
    </w:p>
    <w:p>
      <w:r>
        <w:rPr>
          <w:b/>
        </w:rPr>
        <w:t>E. 4</w:t>
      </w:r>
    </w:p>
    <w:p>
      <w:r>
        <w:t>a) A titre préalable, il convient de relever qu’il n’existe en l’occurrence aucune raison de s’écarter des constatations de faits et de l’appréciation du juge pénal. Le recourant ne démontre d’ailleurs pas le contraire. A l’instar de l’intimée, on s’en tiendra donc aux faits tels qu’ils ont été constatés par les autorités pénales. b) En l’espèce, les autorités pénales ont retenu que le recourant, fortement sous l’influence de l’alcool et tenant un verre à bière à la main, s’en est pris à E.________, qui discutait avec une tierce personne, et s’est immiscé dans leur conversation en reprochant au prénommé les propos dévalorisants qu’il aurait tenu à propos des Suisses, ajoutant que si son verre avait été plein, il le lui aurait jeté à la figure. Il a ensuite touché</w:t>
      </w:r>
    </w:p>
    <w:p>
      <w:r>
        <w:t>- 12 - le visage de son opposant avec son verre avant que l’altercation physique n’éclate. Si le recourant n’a pas été condamné à l’issue de la procédure pénale et n’a pas pris activement part à de véritables actes de violence physique, force est de constater qu’il a joué au préalable un rôle dans l’altercation au cours de laquelle il a été blessé. En effet, en s’immisçant, éméché et muni d’un verre, dans la conversation qu’un inconnu tenait avec un tiers devant un établissement public pour lui reprocher ses propos et le provoquer en lui disant que si son verre avait été plein il le lui aurait jeté à la figure ainsi qu’en le touchant au visage avec son verre, l’intéressé aurait raisonnablement pu se rendre compte qu’il s’engageait dans une altercation qui recélait le risque de commission d’actes de violence physique. Ce faisant, il s’est mis automatiquement dans la zone de danger exclue par l’assurance-accidents. Les deux instances pénales ont d’ailleurs qualifié le comportement préalable du recourant de provocateur envers son agresseur. Compte tenu de son attitude, il y a lieu de retenir que l’intéressé a participé à une rixe ou une bagarre au sens de l’art. 49 al. 2 let. a OLAA. Contrairement à ce que soutient le recourant, la réaction de son agresseur n’était pas si imprévisible et inattendue qu’il faille admettre qu’il n’existe pas de lien de causalité. La violence des propos que le recourant a adressés à E.________, qu’il ne connaissait pas, tels qu’ils ont été retranscrits dans sa plainte du 8 février 2014, soit « T’as de la chance que mon verre est vide sinon je te le jetterai à la gueule ! », et le fait de le toucher au visage avec son verre constituent manifestement une provocation qui est de nature, selon le cours ordinaire des choses et l’expérience de la vie, à entraîner une réaction de violence telle qu’elle s’est effectivement produite, ce d’autant plus que ces propos ont été proférés alors qu’il s’avançait vers son opposant muni dudit verre après s’être immiscé de son propre chef dans la conversation qu’il tenait avec une tierce personne.</w:t>
      </w:r>
    </w:p>
    <w:p>
      <w:r>
        <w:t>- 13 - Se référant à un cas jugé par le Tribunal fédéral (TF 8C_341/2013 du 15 avril 2014) qu’il considère comme analogue au sien, dans lequel le lien de causalité avait été nié s’agissant d’un assuré qui avait été frappé après avoir rappelé à un motocycliste l’existence d’une limitation de vitesse, le recourant soutient que son comportement préalable n’était pas de nature à engendrer une réaction de violence. Cet exemple ne lui est toutefois d’aucun secours. En effet, dans cette affaire (cf. consid. 5), la Haute Cour a retenu que l’assuré avait émis une remarque en relation avec la vitesse à laquelle roulait un motocycliste et que les termes employés, quand bien même auraient-ils été énoncés sur un ton de fermeté, étaient restés corrects et n’avaient en aucune manière dépassé les limites de la civilité. Ces circonstances ne sont à l’évidence pas comparables avec celles du cas d’espèce dès lors que le fait de dire à un inconnu « T’as de la chance que mon verre est vide sinon je te le jetterai à la gueule ! » et de le toucher au visage avec ledit verre dépasse manifestement les limites de la civilité et était donc de nature à impliquer le risque que l’on en vienne à des actes de violence physique. Au vu de ce qui vient d’être exposé, force est de constater que le recourant a participé à une rixe ou une bagarre et que cette participation apparaît comme une cause essentielle des lésions dont il a été victime. Les conditions d’application de l’art. 49 al. 2 let. a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w:t>
      </w:r>
    </w:p>
    <w:p>
      <w:r>
        <w:rPr>
          <w:b/>
        </w:rPr>
        <w:t>E. 5</w:t>
      </w:r>
    </w:p>
    <w:p>
      <w:r>
        <w:t>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w:t>
      </w:r>
    </w:p>
    <w:p>
      <w:r>
        <w:t>- 14 -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En l’espèce, Me Treyvaud a produit une liste de ses opérations le 6 octobre 2015 faisant état d’un temps consacré au dossier de 8 heures et 10 minutes et de débours d’un montant de 79 fr. 50, laquelle a été contrôlée au regard de la procédure et rentre globalement dans le cadre du bon accomplissement du mandat. Le montant des honoraires doit ainsi être arrêté à 1'587 fr. 60 (8 1/ heures x 180 fr. + TVA 8%) et celui des</w:t>
      </w:r>
    </w:p>
    <w:p>
      <w:r>
        <w:rPr>
          <w:b/>
        </w:rPr>
        <w:t>E. 6</w:t>
      </w:r>
    </w:p>
    <w:p>
      <w:r>
        <w:t>débours à 85 fr. 90 (79 fr. 50 + TVA 8%). Le montant total de l’indemnité d’office de Me Treyvaud s’élève dès lors à 1'673 fr. 50.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r>
        <w:t>- 15 - Par ces motifs, la juge unique p r o n o n c e : I. Le recours est rejeté. II. La décision sur opposition rendue le 6 mars 2015 par la Caisse nationale suisse d’assurance en cas d’accidents est confirmée. III. Il n’est pas perçu de frais judiciaires ni alloué de dépens. IV. L’indemnité d’office de Me Paul-Arthur Treyvaud, conseil du recourant, est arrêtée à 1'673 fr. 50 (mille six cent septante- trois francs et cinquante centimes), TVA et débours compris. V. Le bénéficiaire de l’assistance judiciaire est, dans la mesure de l’art. 123 CPC, applicable par renvoi de l’art. 18 al. 5 LPA-VD, tenu au remboursement de l’indemnité du conseil d’office mis à la charge de l’Etat. La juge unique : Le greffier :</w:t>
      </w:r>
    </w:p>
    <w:p>
      <w:r>
        <w:t>- 16 - Du L'arrêt qui précède est notifié à : - Me Paul-Arthur Treyvaud (pour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