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ZA15.014134 vom 6. November 2017</w:t>
      </w:r>
    </w:p>
    <w:p>
      <w:r>
        <w:t>VD Tribunal cantonal, 2017-11-06, FR</w:t>
      </w:r>
    </w:p>
    <w:p>
      <w:r>
        <w:rPr>
          <w:b/>
        </w:rPr>
        <w:t xml:space="preserve">Quelle: </w:t>
      </w:r>
      <w:r>
        <w:t>https://mcp.opencaselaw.ch/entscheid/vd_gerichte_ZA15.014134</w:t>
      </w:r>
    </w:p>
    <w:p>
      <w:r>
        <w:t>FR: VD_GERICHTE ZA15.014134 du 6 novembre 2017</w:t>
      </w:r>
    </w:p>
    <w:p>
      <w:r>
        <w:t>IT: VD_GERICHTE ZA15.014134 del 6 novembre 2017</w:t>
      </w:r>
    </w:p>
    <w:p>
      <w:pPr>
        <w:pStyle w:val="Heading2"/>
      </w:pPr>
      <w:r>
        <w:t>Erwägungen</w:t>
      </w:r>
    </w:p>
    <w:p>
      <w:r>
        <w:rPr>
          <w:b/>
        </w:rPr>
        <w:t>E. 20</w:t>
      </w:r>
    </w:p>
    <w:p>
      <w:r>
        <w:t>(soit 3’040 fr. 20 + 1’782 fr. + 81 francs). Il convient de déduire de cette indemnité le montant des dépens à charge de la CNA, de sorte que la rémunération de conseil d’office est finalement arrêtée à 2’403 fr. 20. d) La rémunération du conseil d’office ainsi que les frais judiciaires sont provisoirement supportés par le canton, le recourant étant rendu attentif au fait qu'il est tenu de rembourser le montant dès qu’il est en mesure de le faire (art. 123 al. 1 CPC par renvoi de l’art. 18 al. 5 LPA- VD).</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