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ZA14.045087 vom 17. Mai 2019</w:t>
      </w:r>
    </w:p>
    <w:p>
      <w:r>
        <w:t>VD Tribunal cantonal, 2019-05-17, FR</w:t>
      </w:r>
    </w:p>
    <w:p>
      <w:r>
        <w:rPr>
          <w:b/>
        </w:rPr>
        <w:t xml:space="preserve">Quelle: </w:t>
      </w:r>
      <w:r>
        <w:t>https://mcp.opencaselaw.ch/entscheid/vd_gerichte_ZA14.045087</w:t>
      </w:r>
    </w:p>
    <w:p>
      <w:r>
        <w:t>FR: VD_GERICHTE ZA14.045087 du 17 mai 2019</w:t>
      </w:r>
    </w:p>
    <w:p>
      <w:r>
        <w:t>IT: VD_GERICHTE ZA14.045087 del 17 maggio 2019</w:t>
      </w:r>
    </w:p>
    <w:p>
      <w:pPr>
        <w:pStyle w:val="Heading2"/>
      </w:pPr>
      <w:r>
        <w:t>Erwägungen</w:t>
      </w:r>
    </w:p>
    <w:p>
      <w:r>
        <w:rPr>
          <w:b/>
        </w:rPr>
        <w:t>E. 17</w:t>
      </w:r>
    </w:p>
    <w:p>
      <w:r>
        <w:t>octobre 2012, il convient de retenir que le traitement médical causé par l’accident s’est terminé moins de six mois après ledit accident. Ce critère n’est donc pas non plus rempli. S’agissant des douleurs physiques persistantes, on peut se référer aux incohérences relevées par le Dr D.________, les experts du DH.________ et les médecins de la SR.________, ainsi qu’aux facteurs extra- médicaux constatés par les médecins de la SR.________. En outre, ainsi que</w:t>
      </w:r>
    </w:p>
    <w:p>
      <w:r>
        <w:t>- 60 - retenu ci-dessus (cf. consid. 5a supra), les douleurs invoquées par la recourante ne sont plus à mettre en lien de causalité naturelle avec l’accident dès le 3 septembre 2013. Ce critère ne doit donc pas être retenu. L’intéressée ne prétend pas qu’il y ait eu des erreurs dans le traitement médical ni de difficultés particulières. Enfin, s’agissant de la durée et du degré de l’incapacité de travail, les mêmes remarques peuvent être faites que s’agissant de la durée du traitement. Partant, au regard de l’ensemble des circonstances, aucun critère jurisprudentiel n’est rempli en l’espèce, de sorte que l’on ne saurait retenir que l’accident du 13 mai 2012, qualifié d’accident de gravité moyenne stricto sensu, est la cause adéquate des troubles psychiques de la recourante (cf. consid. 3b/bb/iii supra). Cette dernière n’a dès lors pas droit à des prestations de l’intimée pour ses éventuelles atteintes psychiques. c) En définitive et à l’instar de ce qu’a retenu l’intimée, le statu quo sine était atteint au 3 septembre 2013. Elle était ainsi parfaitement légitimée à mettre fin au versement des prestations au-delà de cette date pour les suites de l’accident du 13 mai 2012. 6. a) En conclusion, le recours, mal fondé, doit être rejeté et la décision attaquée confirmée. b) Il n’y a pas lieu de percevoir de frais judiciaires, la procédure étant gratuite (art. 61 let. a LPGA), ni d’allouer de dépens, dès lors que le recourant n’obtient pas gain de cause (art. 61 let. g LPGA). c) Les opérations ressortant de la liste produite le 1er juillet 2019 par Me Miauton, avocat d’office, sont justifiées. Son indemnité est arrêtée ainsi à 3’639 fr. 95 (débours et TVA compris). La rémunération du</w:t>
      </w:r>
    </w:p>
    <w:p>
      <w:r>
        <w:t>- 61 - conseil d’office est provisoirement supportée par le canton (art. 122 al. 1 let. a CPC [code de procédure civile du 19 décembre 2008 ; RS 272] ; art. 18 al. 5 LPA-VD). La recourante est rendue attentive au fait qu’elle est tenue de rembourser, dès qu’elle est en mesure de le faire, l’indemnité du conseil d’office mis à la charge de l’Etat (art. 123 al. 1 CPC ; 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