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ZA14.037072 vom 27. August 2015</w:t>
      </w:r>
    </w:p>
    <w:p>
      <w:r>
        <w:t>VD Tribunal cantonal, 2015-08-27, FR</w:t>
      </w:r>
    </w:p>
    <w:p>
      <w:r>
        <w:rPr>
          <w:b/>
        </w:rPr>
        <w:t xml:space="preserve">Quelle: </w:t>
      </w:r>
      <w:r>
        <w:t>https://mcp.opencaselaw.ch/entscheid/vd_gerichte_ZA14.037072</w:t>
      </w:r>
    </w:p>
    <w:p>
      <w:r>
        <w:t>FR: VD_GERICHTE ZA14.037072 du 27 août 2015</w:t>
      </w:r>
    </w:p>
    <w:p>
      <w:r>
        <w:t>IT: VD_GERICHTE ZA14.037072 del 27 agosto 2015</w:t>
      </w:r>
    </w:p>
    <w:p>
      <w:pPr>
        <w:pStyle w:val="Heading2"/>
      </w:pPr>
      <w:r>
        <w:t>Erwägungen</w:t>
      </w:r>
    </w:p>
    <w:p>
      <w:r>
        <w:rPr>
          <w:b/>
        </w:rPr>
        <w:t>E. 7</w:t>
      </w:r>
    </w:p>
    <w:p>
      <w:r>
        <w:t>En définitive, le recours, mal fondé, doit être rejeté, ce qui entraîne la confirmation de la décision attaquée rendue par la caisse intimée. a) La procédure étant gratuite (art. 61 let. a LPGA), il n’est pas perçu de frais de justice, ni alloué de dépens dès lors que le recourant n’obtient pas gain de cause (art. 61 let. g LPGA).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du 7 décembre 2010 sur l’assistance judiciaire en matière civile ; RSV 211.02.3]). En l’espèce, Me Gilliard a produit une liste de ses opérations le 25 août 2015, laquelle a été contrôlée au regard de la procédure et rentre globalement dans le cadre du bon accomplissement du mandat. Compte tenu des heures de prestations d’avocat et débours s’inscrivant raisonnablement dans l’exécution de sa tâche (ATF 122 I 1), le montant</w:t>
      </w:r>
    </w:p>
    <w:p>
      <w:r>
        <w:t>- 23 - total de l’indemnité de Me Gilliard s’élève donc à 1'276 fr. 80 (TVA à 8%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