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ZA14.035345 vom 16. Juni 2015</w:t>
      </w:r>
    </w:p>
    <w:p>
      <w:r>
        <w:t>VD Tribunal cantonal, 2015-06-16, FR</w:t>
      </w:r>
    </w:p>
    <w:p>
      <w:r>
        <w:rPr>
          <w:b/>
        </w:rPr>
        <w:t xml:space="preserve">Quelle: </w:t>
      </w:r>
      <w:r>
        <w:t>https://mcp.opencaselaw.ch/entscheid/vd_gerichte_ZA14.035345</w:t>
      </w:r>
    </w:p>
    <w:p>
      <w:r>
        <w:t>FR: VD_GERICHTE ZA14.035345 du 16 juin 2015</w:t>
      </w:r>
    </w:p>
    <w:p>
      <w:r>
        <w:t>IT: VD_GERICHTE ZA14.035345 del 16 giugno 2015</w:t>
      </w:r>
    </w:p>
    <w:p>
      <w:pPr>
        <w:pStyle w:val="Heading2"/>
      </w:pPr>
      <w:r>
        <w:t>Erwägungen</w:t>
      </w:r>
    </w:p>
    <w:p>
      <w:r>
        <w:rPr>
          <w:b/>
        </w:rPr>
        <w:t>E. 5</w:t>
      </w:r>
    </w:p>
    <w:p>
      <w:r>
        <w:t>En second lieu, il s’agit de se déterminer sur le seul objet demeurant litigieux, soit sur le calcul du préjudice économique et le degré d’invalidité présenté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 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w:t>
      </w:r>
    </w:p>
    <w:p>
      <w:r>
        <w:t>- 20 -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 TF 9C_254/2010 du 29 octobre 2010 consid. 4.2). c) A teneur de l’art. 28 al. 2 OLAA (ordonnance du 20 décembre 1982 sur l’assurance-accidents ; RS 832.202), chez les assurés qui exercent simultanément plusieurs activités salariées, le degré d’invalidité est déterminé en fonction de l’incapacité subie dans l’ensemble de ces activités.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w:t>
      </w:r>
    </w:p>
    <w:p>
      <w:r>
        <w:t>- 21 - En l’espèce, la recourante ne remet pas en cause le revenu hypothétique sans invalidité arrêté sur la base de ses propres déclarations à 52'030 fr. 40 par l'intimée dans sa réponse au recours du 6 octobre 2014. On notera à toutes fins utiles que l’assurée exerçait des activités lucratives auprès du Supermarché C.________ à hauteur de 50% – taux susceptible d’augmentation ultérieure en fonction de ses disponibilités –, ainsi que de la société O.________ à concurrence de quelques heures par semaine. Elle se chargeait également de conciergerie en collaboration avec son conjoint et effectuait des ménages privés. Ainsi qu’elle l’a déclaré à l’inspecteur des sinistres de la F.________SA le 3 novembre 2009, elle avait toutefois d’ores et déjà envisagé la résiliation de son contrat de travail avec la O.________, vu la conclusion d’un contrat avec le Supermarché C.________. Dès lors, à l’instar de l’intimée, il apparaît parfaitement plausible que l’assurée en bonne santé aurait déployé une activité d’employée de supermarché à 80%, tout en conservant la tenue de ménages privés et en adaptant à la baisse son engagement en qualité de concierge en concertation avec son époux. Le revenu hypothétique sans invalidité, constitué d’un revenu de 38’230 fr. 40 après actualisation à 2011, tel que réalisable à 80% au sein du Supermarché C.________, d’un gain annuel de 3'800 fr. en tant que femme de ménage et de 10'000 fr. en tant que concierge, soit un total de 52'030 fr. 40, peut en conséquence être confirmé. d)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l'ESS ou sur les données salariales résultant des descriptions de postes de travail (DPT)</w:t>
      </w:r>
    </w:p>
    <w:p>
      <w:r>
        <w:t>- 22 -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 d’évaluation (ATF 129 V 472 consid. 4.2 ; cf. Frésard/Moser-Szeless, op. cit., p. 901). En matière LAA, il est donc possible, mais non impératif, de recourir aux ESS pour déterminer le revenu d’invalide (ATF 135 V 297 consid. 5.2). Cas échéant, on se réfère alors à la statistique des salaires bruts standardisés, en se fondant toujours sur la médiane ou valeur centrale (ATF 124 V 323 consid. 3b/bb ; TF I 7/2006 du 12 janvier 2007 consid. 5.2 ; Pratique VSI 1999 p. 182). En outre, dans l’hypothèse d’un recours à l’ESS,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w:t>
      </w:r>
    </w:p>
    <w:p>
      <w:r>
        <w:rPr>
          <w:b/>
        </w:rPr>
        <w:t>E. 6</w:t>
      </w:r>
    </w:p>
    <w:p>
      <w:r>
        <w:t>Vu les éléments qui précèdent, le recours, mal fondé, doit être rejeté sous suite de confirmation de la décision sur opposition du 24 juillet 2014. a) La procédure étant gratuite, il n'est pas perçu de frais de justice (cf. art. 61 let. a LPGA). b) Par ailleurs, la recourante, qui n’obtient pas gain de cause, n’a pas droit à des dépens. Quoique l’intimée obtienne en revanche gain de cause, elle ne saurait prétendre des dépens de la part de la recourante.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U.________SA, en sa qualité d’assureur social, dispose d’un service juridique interne susceptible de la représenter dans l’accomplissement de ses tâches de droit public (cf. ATF 134 V 340).</w:t>
      </w:r>
    </w:p>
    <w:p>
      <w:r>
        <w:t>- 25 - c)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 l’indemnité ; celle-ci est en effet tenue à remboursement dès qu'elle est en mesure de le faire (art. 123 CPC, applicable par renvoi de l'art. 18 al. 5 LPA-VD). La recourante bénéficie, au titre de l'assistance judiciaire, de la commission d'office d'un avocat en la personne de Me Laurent Gillard jusqu'au terme de la présente procédure (art. 118 al. 1 let. c CPC, applicable par renvoi de l'art. 18 al. 5 LPA-VD). Le 12 janvier 2015, Me Gilliard a produit le relevé des opérations effectuées pour le compte de l’assurée. Son activité a été contrôlée au regard de la conduite du procès et rentre globalement dans le cadre du bon accomplissement du mandat. Elle doit être arrêtée, pour la période du 2 septembre 2014 au 20 janvier 2015 inclus, à six heures au tarif horaire de 180 fr. (art. 2 al. 1 let. a RAJ [règlement cantonal vaudois du 7 décembre 2010 sur l'assistance judiciaire civile ; RSV 211.02.3]), à quoi s'ajoutent les débours par 10 fr. 40 et la TVA au taux de 8%, ce qui représente un montant total de 1’177 fr. 65 pour l'ensemble de l'activité déployée dans la présente cause. Cette rémunération est provisoirement supportée par le canton, la recourante étant rendu attentive au fait qu'elle est tenu d'en rembourser le montant dès qu'elle sera en mesure de le faire (art. 123 al. 1 CPC). Il incombe au Service juridique et législatif de fixer les modalités de ce remboursement (art. 5 RAJ).</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